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楷体_GB2312" w:eastAsia="楷体_GB2312"/>
          <w:b/>
          <w:bCs/>
          <w:sz w:val="72"/>
        </w:rPr>
      </w:pPr>
    </w:p>
    <w:p>
      <w:pPr>
        <w:pStyle w:val="2"/>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南宁师范大学市内用车定点租赁和住宿酒店定点服务单位遴选询价文件</w:t>
      </w:r>
    </w:p>
    <w:p>
      <w:pPr>
        <w:pStyle w:val="2"/>
      </w:pPr>
    </w:p>
    <w:p>
      <w:pPr>
        <w:pStyle w:val="2"/>
      </w:pPr>
    </w:p>
    <w:p>
      <w:pPr>
        <w:pStyle w:val="2"/>
      </w:pPr>
    </w:p>
    <w:p>
      <w:pPr>
        <w:pStyle w:val="2"/>
      </w:pPr>
    </w:p>
    <w:p>
      <w:pPr>
        <w:pStyle w:val="2"/>
        <w:jc w:val="center"/>
      </w:pPr>
    </w:p>
    <w:p>
      <w:pPr>
        <w:pStyle w:val="2"/>
        <w:jc w:val="center"/>
      </w:pPr>
    </w:p>
    <w:p>
      <w:pPr>
        <w:pStyle w:val="2"/>
      </w:pPr>
    </w:p>
    <w:p>
      <w:pPr>
        <w:pStyle w:val="2"/>
      </w:pPr>
    </w:p>
    <w:p>
      <w:pPr>
        <w:pStyle w:val="2"/>
        <w:ind w:firstLine="2415"/>
        <w:rPr>
          <w:sz w:val="32"/>
          <w:szCs w:val="32"/>
        </w:rPr>
      </w:pPr>
    </w:p>
    <w:p>
      <w:pPr>
        <w:pStyle w:val="2"/>
        <w:ind w:firstLine="1269" w:firstLineChars="395"/>
        <w:rPr>
          <w:b/>
          <w:sz w:val="32"/>
          <w:szCs w:val="32"/>
        </w:rPr>
      </w:pPr>
      <w:r>
        <w:rPr>
          <w:rFonts w:hint="eastAsia"/>
          <w:b/>
          <w:sz w:val="32"/>
          <w:szCs w:val="32"/>
        </w:rPr>
        <w:t>项目编号：NNNU2019-XJ01　</w:t>
      </w:r>
    </w:p>
    <w:p>
      <w:pPr>
        <w:pStyle w:val="2"/>
        <w:ind w:left="2852" w:leftChars="601" w:hanging="1590" w:hangingChars="495"/>
        <w:rPr>
          <w:b/>
          <w:sz w:val="32"/>
          <w:szCs w:val="32"/>
          <w:u w:val="single"/>
        </w:rPr>
      </w:pPr>
      <w:r>
        <w:rPr>
          <w:rFonts w:hint="eastAsia"/>
          <w:b/>
          <w:sz w:val="32"/>
          <w:szCs w:val="32"/>
        </w:rPr>
        <w:t>项目名称：南宁师范大学市内用车定点租赁和住宿酒店定点服务单位遴选询价</w:t>
      </w:r>
    </w:p>
    <w:p>
      <w:pPr>
        <w:pStyle w:val="2"/>
        <w:ind w:firstLine="2415"/>
        <w:rPr>
          <w:b/>
          <w:sz w:val="32"/>
          <w:szCs w:val="32"/>
        </w:rPr>
      </w:pPr>
    </w:p>
    <w:p>
      <w:pPr>
        <w:pStyle w:val="2"/>
        <w:ind w:firstLine="105"/>
        <w:jc w:val="center"/>
        <w:rPr>
          <w:rFonts w:ascii="华文新魏" w:eastAsia="华文新魏"/>
          <w:sz w:val="52"/>
        </w:rPr>
      </w:pPr>
    </w:p>
    <w:p>
      <w:pPr>
        <w:pStyle w:val="2"/>
        <w:ind w:firstLine="2415"/>
        <w:rPr>
          <w:b/>
          <w:sz w:val="28"/>
        </w:rPr>
      </w:pPr>
    </w:p>
    <w:p>
      <w:pPr>
        <w:pStyle w:val="2"/>
        <w:rPr>
          <w:b/>
        </w:rPr>
      </w:pPr>
    </w:p>
    <w:p>
      <w:pPr>
        <w:pStyle w:val="2"/>
        <w:rPr>
          <w:b/>
        </w:rPr>
      </w:pPr>
    </w:p>
    <w:p>
      <w:pPr>
        <w:pStyle w:val="2"/>
        <w:rPr>
          <w:b/>
        </w:rPr>
      </w:pPr>
      <w:r>
        <w:rPr>
          <w:rFonts w:hint="eastAsia"/>
          <w:b/>
        </w:rPr>
        <w:cr/>
      </w:r>
    </w:p>
    <w:p>
      <w:pPr>
        <w:pStyle w:val="2"/>
        <w:ind w:firstLine="1834"/>
        <w:rPr>
          <w:b/>
          <w:sz w:val="28"/>
        </w:rPr>
      </w:pPr>
    </w:p>
    <w:p>
      <w:pPr>
        <w:pStyle w:val="2"/>
        <w:jc w:val="center"/>
        <w:rPr>
          <w:b/>
          <w:sz w:val="32"/>
          <w:szCs w:val="32"/>
        </w:rPr>
      </w:pPr>
      <w:r>
        <w:rPr>
          <w:rFonts w:hint="eastAsia"/>
          <w:b/>
          <w:sz w:val="32"/>
          <w:szCs w:val="32"/>
        </w:rPr>
        <w:t>南宁师范大学</w:t>
      </w:r>
    </w:p>
    <w:p>
      <w:pPr>
        <w:pStyle w:val="2"/>
        <w:jc w:val="center"/>
        <w:rPr>
          <w:b/>
          <w:sz w:val="32"/>
          <w:szCs w:val="32"/>
        </w:rPr>
      </w:pPr>
      <w:r>
        <w:rPr>
          <w:rFonts w:hint="eastAsia"/>
          <w:b/>
          <w:sz w:val="32"/>
          <w:szCs w:val="32"/>
        </w:rPr>
        <w:t>2019年</w:t>
      </w:r>
      <w:r>
        <w:rPr>
          <w:rFonts w:hint="eastAsia"/>
          <w:b/>
          <w:sz w:val="32"/>
          <w:szCs w:val="32"/>
          <w:lang w:val="en-US" w:eastAsia="zh-CN"/>
        </w:rPr>
        <w:t>8</w:t>
      </w:r>
      <w:r>
        <w:rPr>
          <w:rFonts w:hint="eastAsia"/>
          <w:b/>
          <w:sz w:val="32"/>
          <w:szCs w:val="32"/>
        </w:rPr>
        <w:t>月</w:t>
      </w:r>
      <w:r>
        <w:rPr>
          <w:rFonts w:hint="eastAsia"/>
          <w:b/>
          <w:sz w:val="32"/>
          <w:szCs w:val="32"/>
          <w:lang w:val="en-US" w:eastAsia="zh-CN"/>
        </w:rPr>
        <w:t>5</w:t>
      </w:r>
      <w:r>
        <w:rPr>
          <w:rFonts w:hint="eastAsia"/>
          <w:b/>
          <w:sz w:val="32"/>
          <w:szCs w:val="32"/>
        </w:rPr>
        <w:t>日</w:t>
      </w:r>
    </w:p>
    <w:p>
      <w:pPr>
        <w:pStyle w:val="2"/>
        <w:jc w:val="center"/>
        <w:rPr>
          <w:b/>
          <w:sz w:val="28"/>
        </w:rPr>
      </w:pPr>
    </w:p>
    <w:p>
      <w:pPr>
        <w:pStyle w:val="2"/>
        <w:jc w:val="center"/>
        <w:rPr>
          <w:rFonts w:hint="eastAsia" w:ascii="方正小标宋_GBK" w:hAnsi="方正小标宋_GBK" w:eastAsia="方正小标宋_GBK" w:cs="方正小标宋_GBK"/>
          <w:b/>
          <w:sz w:val="36"/>
          <w:szCs w:val="36"/>
        </w:rPr>
      </w:pPr>
      <w:r>
        <w:rPr>
          <w:rFonts w:hint="eastAsia" w:ascii="方正小标宋_GBK" w:hAnsi="方正小标宋_GBK" w:eastAsia="方正小标宋_GBK" w:cs="方正小标宋_GBK"/>
          <w:b/>
          <w:sz w:val="36"/>
          <w:szCs w:val="36"/>
        </w:rPr>
        <w:t>南宁师范大学市内用车定点租赁和住宿酒店</w:t>
      </w:r>
    </w:p>
    <w:p>
      <w:pPr>
        <w:pStyle w:val="2"/>
        <w:jc w:val="center"/>
        <w:rPr>
          <w:rFonts w:ascii="方正小标宋_GBK" w:hAnsi="方正小标宋_GBK" w:eastAsia="方正小标宋_GBK" w:cs="方正小标宋_GBK"/>
          <w:b/>
          <w:sz w:val="36"/>
          <w:szCs w:val="36"/>
        </w:rPr>
      </w:pPr>
      <w:r>
        <w:rPr>
          <w:rFonts w:hint="eastAsia" w:ascii="方正小标宋_GBK" w:hAnsi="方正小标宋_GBK" w:eastAsia="方正小标宋_GBK" w:cs="方正小标宋_GBK"/>
          <w:b/>
          <w:sz w:val="36"/>
          <w:szCs w:val="36"/>
        </w:rPr>
        <w:t>定点服务单位遴选询价公告</w:t>
      </w:r>
    </w:p>
    <w:p>
      <w:pPr>
        <w:ind w:firstLine="560" w:firstLineChars="200"/>
        <w:rPr>
          <w:rFonts w:hint="eastAsia" w:ascii="宋体" w:hAnsi="宋体"/>
          <w:sz w:val="28"/>
          <w:szCs w:val="28"/>
        </w:rPr>
      </w:pPr>
    </w:p>
    <w:p>
      <w:pPr>
        <w:ind w:firstLine="560" w:firstLineChars="200"/>
        <w:rPr>
          <w:rFonts w:ascii="宋体" w:hAnsi="宋体"/>
          <w:sz w:val="28"/>
          <w:szCs w:val="28"/>
          <w:u w:val="single"/>
        </w:rPr>
      </w:pPr>
      <w:r>
        <w:rPr>
          <w:rFonts w:hint="eastAsia" w:ascii="宋体" w:hAnsi="宋体"/>
          <w:sz w:val="28"/>
          <w:szCs w:val="28"/>
        </w:rPr>
        <w:t>经学校批准，现拟就南宁师范大学市内用车定点租赁和住宿酒店定点服务单位遴选询价项目进行市内询价，欢迎符合条件的供应商参加报价。</w:t>
      </w:r>
    </w:p>
    <w:p>
      <w:pPr>
        <w:autoSpaceDE w:val="0"/>
        <w:autoSpaceDN w:val="0"/>
        <w:ind w:firstLine="562" w:firstLineChars="200"/>
        <w:rPr>
          <w:rFonts w:ascii="宋体" w:hAnsi="宋体"/>
          <w:sz w:val="28"/>
          <w:szCs w:val="28"/>
          <w:u w:val="single"/>
        </w:rPr>
      </w:pPr>
      <w:r>
        <w:rPr>
          <w:rFonts w:hint="eastAsia" w:ascii="宋体" w:hAnsi="宋体"/>
          <w:b/>
          <w:sz w:val="28"/>
          <w:szCs w:val="28"/>
          <w:lang w:val="zh-CN"/>
        </w:rPr>
        <w:t>一、项目编号</w:t>
      </w:r>
      <w:r>
        <w:rPr>
          <w:rFonts w:hint="eastAsia" w:ascii="宋体" w:hAnsi="宋体"/>
          <w:sz w:val="28"/>
          <w:szCs w:val="28"/>
          <w:lang w:val="zh-CN"/>
        </w:rPr>
        <w:t>：</w:t>
      </w:r>
      <w:r>
        <w:rPr>
          <w:rFonts w:hint="eastAsia" w:ascii="宋体" w:hAnsi="宋体"/>
          <w:sz w:val="28"/>
          <w:szCs w:val="28"/>
          <w:u w:val="single"/>
          <w:lang w:val="zh-CN"/>
        </w:rPr>
        <w:t>　</w:t>
      </w:r>
      <w:r>
        <w:rPr>
          <w:rFonts w:hint="eastAsia" w:ascii="宋体" w:hAnsi="宋体"/>
          <w:sz w:val="28"/>
          <w:szCs w:val="28"/>
          <w:u w:val="single"/>
        </w:rPr>
        <w:t>NNNU2019-XJ01　</w:t>
      </w:r>
    </w:p>
    <w:p>
      <w:pPr>
        <w:autoSpaceDE w:val="0"/>
        <w:autoSpaceDN w:val="0"/>
        <w:ind w:firstLine="562" w:firstLineChars="200"/>
        <w:rPr>
          <w:rFonts w:ascii="宋体" w:hAnsi="宋体"/>
          <w:sz w:val="28"/>
          <w:szCs w:val="28"/>
          <w:u w:val="single"/>
        </w:rPr>
      </w:pPr>
      <w:r>
        <w:rPr>
          <w:rFonts w:hint="eastAsia" w:ascii="宋体" w:hAnsi="宋体"/>
          <w:b/>
          <w:sz w:val="28"/>
          <w:szCs w:val="28"/>
        </w:rPr>
        <w:t>二、项目名称</w:t>
      </w:r>
      <w:r>
        <w:rPr>
          <w:rFonts w:hint="eastAsia" w:ascii="宋体" w:hAnsi="宋体"/>
          <w:sz w:val="28"/>
          <w:szCs w:val="28"/>
        </w:rPr>
        <w:t>：南宁师范大学市内用车定点租赁和住宿酒店定点服务单位遴选询价项目</w:t>
      </w:r>
    </w:p>
    <w:p>
      <w:pPr>
        <w:autoSpaceDE w:val="0"/>
        <w:autoSpaceDN w:val="0"/>
        <w:ind w:firstLine="562" w:firstLineChars="200"/>
        <w:rPr>
          <w:rFonts w:ascii="宋体" w:hAnsi="宋体"/>
          <w:sz w:val="28"/>
          <w:szCs w:val="28"/>
          <w:lang w:val="zh-CN"/>
        </w:rPr>
      </w:pPr>
      <w:r>
        <w:rPr>
          <w:rFonts w:hint="eastAsia" w:ascii="宋体" w:hAnsi="宋体"/>
          <w:b/>
          <w:sz w:val="28"/>
          <w:szCs w:val="28"/>
          <w:lang w:val="zh-CN"/>
        </w:rPr>
        <w:t>三、</w:t>
      </w:r>
      <w:r>
        <w:rPr>
          <w:rFonts w:hint="eastAsia" w:ascii="宋体" w:hAnsi="宋体"/>
          <w:b/>
          <w:sz w:val="28"/>
          <w:szCs w:val="28"/>
        </w:rPr>
        <w:t>需求</w:t>
      </w:r>
      <w:r>
        <w:rPr>
          <w:rFonts w:hint="eastAsia" w:ascii="宋体" w:hAnsi="宋体"/>
          <w:b/>
          <w:sz w:val="28"/>
          <w:szCs w:val="28"/>
          <w:lang w:val="zh-CN"/>
        </w:rPr>
        <w:t>内容</w:t>
      </w:r>
      <w:r>
        <w:rPr>
          <w:rFonts w:hint="eastAsia" w:ascii="宋体" w:hAnsi="宋体"/>
          <w:sz w:val="28"/>
          <w:szCs w:val="28"/>
          <w:lang w:val="zh-CN"/>
        </w:rPr>
        <w:t>：</w:t>
      </w:r>
      <w:r>
        <w:rPr>
          <w:rFonts w:hint="eastAsia" w:ascii="宋体" w:hAnsi="宋体"/>
          <w:sz w:val="28"/>
          <w:szCs w:val="28"/>
        </w:rPr>
        <w:t>对学校市内用车定点租赁和住宿酒店定点服务单位进行遴选询价，分别确定不超过六家和十二家的供应商为学校市内用车定点租赁和住宿酒店的定点服务单位，服务期限为自签订合同之日起两年</w:t>
      </w:r>
      <w:r>
        <w:rPr>
          <w:rFonts w:hint="eastAsia" w:ascii="宋体" w:hAnsi="宋体"/>
          <w:sz w:val="28"/>
          <w:szCs w:val="28"/>
          <w:lang w:val="zh-CN"/>
        </w:rPr>
        <w:t>。</w:t>
      </w:r>
    </w:p>
    <w:p>
      <w:pPr>
        <w:ind w:firstLine="478" w:firstLineChars="170"/>
        <w:rPr>
          <w:rFonts w:ascii="宋体" w:hAnsi="宋体"/>
          <w:b/>
          <w:sz w:val="28"/>
          <w:szCs w:val="28"/>
        </w:rPr>
      </w:pPr>
      <w:r>
        <w:rPr>
          <w:rFonts w:hint="eastAsia" w:ascii="宋体" w:hAnsi="宋体"/>
          <w:b/>
          <w:sz w:val="28"/>
          <w:szCs w:val="28"/>
        </w:rPr>
        <w:t>四、服务单位资格要求：</w:t>
      </w:r>
    </w:p>
    <w:p>
      <w:pPr>
        <w:ind w:firstLine="280" w:firstLineChars="100"/>
        <w:rPr>
          <w:rFonts w:ascii="宋体" w:hAnsi="宋体"/>
          <w:sz w:val="28"/>
          <w:szCs w:val="28"/>
        </w:rPr>
      </w:pPr>
      <w:r>
        <w:rPr>
          <w:rFonts w:hint="eastAsia" w:ascii="宋体" w:hAnsi="宋体"/>
          <w:sz w:val="28"/>
          <w:szCs w:val="28"/>
        </w:rPr>
        <w:t>（一）车辆租赁企业</w:t>
      </w:r>
    </w:p>
    <w:p>
      <w:pPr>
        <w:ind w:firstLine="560" w:firstLineChars="200"/>
        <w:rPr>
          <w:rFonts w:ascii="宋体" w:hAnsi="宋体"/>
          <w:sz w:val="28"/>
          <w:szCs w:val="28"/>
        </w:rPr>
      </w:pPr>
      <w:r>
        <w:rPr>
          <w:rFonts w:hint="eastAsia" w:ascii="宋体" w:hAnsi="宋体"/>
          <w:sz w:val="28"/>
          <w:szCs w:val="28"/>
        </w:rPr>
        <w:t>1、具备独立法人资格，满足《中华人民共和国政府采购法》第二十二条规定的条件；</w:t>
      </w:r>
    </w:p>
    <w:p>
      <w:pPr>
        <w:ind w:firstLine="560" w:firstLineChars="200"/>
        <w:rPr>
          <w:rFonts w:ascii="宋体" w:hAnsi="宋体"/>
          <w:sz w:val="28"/>
          <w:szCs w:val="28"/>
        </w:rPr>
      </w:pPr>
      <w:r>
        <w:rPr>
          <w:rFonts w:hint="eastAsia" w:ascii="宋体" w:hAnsi="宋体"/>
          <w:sz w:val="28"/>
          <w:szCs w:val="28"/>
        </w:rPr>
        <w:t>2、具备相应的设备设施和专业服务人员，守法经营，具备为学校提供稳定的用车租赁服务的条件和能力。</w:t>
      </w:r>
    </w:p>
    <w:p>
      <w:pPr>
        <w:ind w:firstLine="560" w:firstLineChars="200"/>
        <w:rPr>
          <w:rFonts w:ascii="宋体" w:hAnsi="宋体"/>
          <w:sz w:val="28"/>
          <w:szCs w:val="28"/>
          <w:highlight w:val="yellow"/>
        </w:rPr>
      </w:pPr>
      <w:r>
        <w:rPr>
          <w:rFonts w:hint="eastAsia" w:ascii="宋体" w:hAnsi="宋体"/>
          <w:sz w:val="28"/>
          <w:szCs w:val="28"/>
        </w:rPr>
        <w:t>3、近三年内，在经营活动中没有重大违法记录和不良信用记录；（被列入失信被执行人、重大税收违法案件当事人名单、政府采购严重违法失信行为记录名单及其他不符合《中华人民共和国政府采购法》第二十二条规定条件的供应商，将被拒绝其参与本次询价采购活动。供应商可在“信用中国”网站（</w:t>
      </w:r>
      <w:r>
        <w:fldChar w:fldCharType="begin"/>
      </w:r>
      <w:r>
        <w:instrText xml:space="preserve"> HYPERLINK "http://www.creditchina.gov.cn" </w:instrText>
      </w:r>
      <w:r>
        <w:fldChar w:fldCharType="separate"/>
      </w:r>
      <w:r>
        <w:rPr>
          <w:rStyle w:val="10"/>
          <w:rFonts w:hint="eastAsia" w:ascii="宋体" w:hAnsi="宋体"/>
          <w:color w:val="auto"/>
          <w:sz w:val="28"/>
          <w:szCs w:val="28"/>
        </w:rPr>
        <w:t>www.creditchina.gov.cn</w:t>
      </w:r>
      <w:r>
        <w:rPr>
          <w:rStyle w:val="10"/>
          <w:rFonts w:hint="eastAsia" w:ascii="宋体" w:hAnsi="宋体"/>
          <w:color w:val="auto"/>
          <w:sz w:val="28"/>
          <w:szCs w:val="28"/>
        </w:rPr>
        <w:fldChar w:fldCharType="end"/>
      </w:r>
      <w:r>
        <w:rPr>
          <w:rFonts w:hint="eastAsia" w:ascii="宋体" w:hAnsi="宋体"/>
          <w:sz w:val="28"/>
          <w:szCs w:val="28"/>
        </w:rPr>
        <w:t>）或中国政府采购网（</w:t>
      </w:r>
      <w:r>
        <w:fldChar w:fldCharType="begin"/>
      </w:r>
      <w:r>
        <w:instrText xml:space="preserve"> HYPERLINK "http://www.ccgp.gov.cn" </w:instrText>
      </w:r>
      <w:r>
        <w:fldChar w:fldCharType="separate"/>
      </w:r>
      <w:r>
        <w:rPr>
          <w:rStyle w:val="10"/>
          <w:rFonts w:hint="eastAsia" w:ascii="宋体" w:hAnsi="宋体"/>
          <w:color w:val="auto"/>
          <w:sz w:val="28"/>
          <w:szCs w:val="28"/>
        </w:rPr>
        <w:t>www.ccgp.gov.cn</w:t>
      </w:r>
      <w:r>
        <w:rPr>
          <w:rStyle w:val="10"/>
          <w:rFonts w:hint="eastAsia" w:ascii="宋体" w:hAnsi="宋体"/>
          <w:color w:val="auto"/>
          <w:sz w:val="28"/>
          <w:szCs w:val="28"/>
        </w:rPr>
        <w:fldChar w:fldCharType="end"/>
      </w:r>
      <w:r>
        <w:rPr>
          <w:rFonts w:hint="eastAsia" w:ascii="宋体" w:hAnsi="宋体"/>
          <w:sz w:val="28"/>
          <w:szCs w:val="28"/>
        </w:rPr>
        <w:t>）查询相关供应商主体信用记录，同时须在响应文件中将查询结果截图加盖单位公章如实报告询价小组）。</w:t>
      </w:r>
    </w:p>
    <w:p>
      <w:pPr>
        <w:ind w:firstLine="560" w:firstLineChars="200"/>
        <w:rPr>
          <w:rFonts w:ascii="宋体" w:hAnsi="宋体"/>
          <w:sz w:val="28"/>
          <w:szCs w:val="28"/>
        </w:rPr>
      </w:pPr>
      <w:r>
        <w:rPr>
          <w:rFonts w:hint="eastAsia" w:ascii="宋体" w:hAnsi="宋体"/>
          <w:sz w:val="28"/>
          <w:szCs w:val="28"/>
        </w:rPr>
        <w:t>（二）住宿酒店企业</w:t>
      </w:r>
    </w:p>
    <w:p>
      <w:pPr>
        <w:ind w:firstLine="560" w:firstLineChars="200"/>
        <w:rPr>
          <w:rFonts w:ascii="宋体" w:hAnsi="宋体"/>
          <w:sz w:val="28"/>
          <w:szCs w:val="28"/>
        </w:rPr>
      </w:pPr>
      <w:r>
        <w:rPr>
          <w:rFonts w:hint="eastAsia" w:ascii="宋体" w:hAnsi="宋体"/>
          <w:sz w:val="28"/>
          <w:szCs w:val="28"/>
        </w:rPr>
        <w:t>1、具备独立法人资格，满足《中华人民共和国政府采购法》第二十二条规定的条件；</w:t>
      </w:r>
    </w:p>
    <w:p>
      <w:pPr>
        <w:ind w:firstLine="560" w:firstLineChars="200"/>
        <w:rPr>
          <w:rFonts w:ascii="宋体" w:hAnsi="宋体"/>
          <w:sz w:val="28"/>
          <w:szCs w:val="28"/>
        </w:rPr>
      </w:pPr>
      <w:r>
        <w:rPr>
          <w:rFonts w:hint="eastAsia" w:ascii="宋体" w:hAnsi="宋体"/>
          <w:sz w:val="28"/>
          <w:szCs w:val="28"/>
        </w:rPr>
        <w:t>2、具备相应的设备设施和专业服务人员，守法经营，具备为学校提供稳定的酒店住宿服务的条件和能力。</w:t>
      </w:r>
    </w:p>
    <w:p>
      <w:pPr>
        <w:ind w:firstLine="560" w:firstLineChars="200"/>
        <w:rPr>
          <w:rFonts w:ascii="宋体" w:hAnsi="宋体"/>
          <w:sz w:val="28"/>
          <w:szCs w:val="28"/>
        </w:rPr>
      </w:pPr>
      <w:r>
        <w:rPr>
          <w:rFonts w:hint="eastAsia" w:ascii="宋体" w:hAnsi="宋体"/>
          <w:sz w:val="28"/>
          <w:szCs w:val="28"/>
        </w:rPr>
        <w:t>3、近三年内，在经营活动中没有重大违法记录和不良信用记录；（被列入失信被执行人、重大税收违法案件当事人名单、政府采购严重违法失信行为记录名单及其他不符合《中华人民共和国政府采购法》第二十二条规定条件的供应商，将被拒绝其参与本次询价采购活动。供应商可在“信用中国”网站（</w:t>
      </w:r>
      <w:r>
        <w:fldChar w:fldCharType="begin"/>
      </w:r>
      <w:r>
        <w:instrText xml:space="preserve"> HYPERLINK "http://www.creditchina.gov.cn" </w:instrText>
      </w:r>
      <w:r>
        <w:fldChar w:fldCharType="separate"/>
      </w:r>
      <w:r>
        <w:rPr>
          <w:rStyle w:val="10"/>
          <w:rFonts w:hint="eastAsia" w:ascii="宋体" w:hAnsi="宋体"/>
          <w:color w:val="auto"/>
          <w:sz w:val="28"/>
          <w:szCs w:val="28"/>
        </w:rPr>
        <w:t>www.creditchina.gov.cn</w:t>
      </w:r>
      <w:r>
        <w:rPr>
          <w:rStyle w:val="10"/>
          <w:rFonts w:hint="eastAsia" w:ascii="宋体" w:hAnsi="宋体"/>
          <w:color w:val="auto"/>
          <w:sz w:val="28"/>
          <w:szCs w:val="28"/>
        </w:rPr>
        <w:fldChar w:fldCharType="end"/>
      </w:r>
      <w:r>
        <w:rPr>
          <w:rFonts w:hint="eastAsia" w:ascii="宋体" w:hAnsi="宋体"/>
          <w:sz w:val="28"/>
          <w:szCs w:val="28"/>
        </w:rPr>
        <w:t>）或中国政府采购网（</w:t>
      </w:r>
      <w:r>
        <w:fldChar w:fldCharType="begin"/>
      </w:r>
      <w:r>
        <w:instrText xml:space="preserve"> HYPERLINK "http://www.ccgp.gov.cn" </w:instrText>
      </w:r>
      <w:r>
        <w:fldChar w:fldCharType="separate"/>
      </w:r>
      <w:r>
        <w:rPr>
          <w:rStyle w:val="10"/>
          <w:rFonts w:hint="eastAsia" w:ascii="宋体" w:hAnsi="宋体"/>
          <w:color w:val="auto"/>
          <w:sz w:val="28"/>
          <w:szCs w:val="28"/>
        </w:rPr>
        <w:t>www.ccgp.gov.cn</w:t>
      </w:r>
      <w:r>
        <w:rPr>
          <w:rStyle w:val="10"/>
          <w:rFonts w:hint="eastAsia" w:ascii="宋体" w:hAnsi="宋体"/>
          <w:color w:val="auto"/>
          <w:sz w:val="28"/>
          <w:szCs w:val="28"/>
        </w:rPr>
        <w:fldChar w:fldCharType="end"/>
      </w:r>
      <w:r>
        <w:rPr>
          <w:rFonts w:hint="eastAsia" w:ascii="宋体" w:hAnsi="宋体"/>
          <w:sz w:val="28"/>
          <w:szCs w:val="28"/>
        </w:rPr>
        <w:t>）查询相关供应商主体信用记录，同时须在响应文件中将查询结果截图加盖单位公章如实报告询价小组）。</w:t>
      </w:r>
    </w:p>
    <w:p>
      <w:pPr>
        <w:autoSpaceDE w:val="0"/>
        <w:autoSpaceDN w:val="0"/>
        <w:ind w:firstLine="562" w:firstLineChars="200"/>
        <w:rPr>
          <w:rFonts w:ascii="宋体" w:hAnsi="宋体"/>
          <w:b/>
          <w:sz w:val="28"/>
          <w:szCs w:val="28"/>
          <w:lang w:val="zh-CN"/>
        </w:rPr>
      </w:pPr>
      <w:r>
        <w:rPr>
          <w:rFonts w:hint="eastAsia" w:ascii="宋体" w:hAnsi="宋体"/>
          <w:b/>
          <w:sz w:val="28"/>
          <w:szCs w:val="28"/>
        </w:rPr>
        <w:t>五</w:t>
      </w:r>
      <w:r>
        <w:rPr>
          <w:rFonts w:hint="eastAsia" w:ascii="宋体" w:hAnsi="宋体"/>
          <w:b/>
          <w:sz w:val="28"/>
          <w:szCs w:val="28"/>
          <w:lang w:val="zh-CN"/>
        </w:rPr>
        <w:t>、递交响应文件截止时间和报价时间</w:t>
      </w:r>
    </w:p>
    <w:p>
      <w:pPr>
        <w:autoSpaceDE w:val="0"/>
        <w:autoSpaceDN w:val="0"/>
        <w:ind w:firstLine="560" w:firstLineChars="200"/>
        <w:rPr>
          <w:rFonts w:ascii="宋体" w:hAnsi="宋体"/>
          <w:sz w:val="28"/>
          <w:szCs w:val="28"/>
          <w:lang w:val="zh-CN"/>
        </w:rPr>
      </w:pPr>
      <w:r>
        <w:rPr>
          <w:rFonts w:hint="eastAsia" w:ascii="宋体" w:hAnsi="宋体"/>
          <w:sz w:val="28"/>
          <w:szCs w:val="28"/>
          <w:lang w:val="zh-CN"/>
        </w:rPr>
        <w:t>递交响应文件截止时间为201</w:t>
      </w:r>
      <w:r>
        <w:rPr>
          <w:rFonts w:hint="eastAsia" w:ascii="宋体" w:hAnsi="宋体"/>
          <w:sz w:val="28"/>
          <w:szCs w:val="28"/>
        </w:rPr>
        <w:t>9</w:t>
      </w:r>
      <w:r>
        <w:rPr>
          <w:rFonts w:hint="eastAsia" w:ascii="宋体" w:hAnsi="宋体"/>
          <w:sz w:val="28"/>
          <w:szCs w:val="28"/>
          <w:lang w:val="zh-CN"/>
        </w:rPr>
        <w:t>年</w:t>
      </w:r>
      <w:r>
        <w:rPr>
          <w:rFonts w:hint="eastAsia" w:ascii="宋体" w:hAnsi="宋体"/>
          <w:sz w:val="28"/>
          <w:szCs w:val="28"/>
          <w:lang w:val="en-US" w:eastAsia="zh-CN"/>
        </w:rPr>
        <w:t>8</w:t>
      </w:r>
      <w:r>
        <w:rPr>
          <w:rFonts w:hint="eastAsia" w:ascii="宋体" w:hAnsi="宋体"/>
          <w:sz w:val="28"/>
          <w:szCs w:val="28"/>
          <w:lang w:val="zh-CN"/>
        </w:rPr>
        <w:t>月</w:t>
      </w:r>
      <w:r>
        <w:rPr>
          <w:rFonts w:hint="eastAsia" w:ascii="宋体" w:hAnsi="宋体"/>
          <w:sz w:val="28"/>
          <w:szCs w:val="28"/>
          <w:lang w:val="en-US" w:eastAsia="zh-CN"/>
        </w:rPr>
        <w:t>15</w:t>
      </w:r>
      <w:r>
        <w:rPr>
          <w:rFonts w:hint="eastAsia" w:ascii="宋体" w:hAnsi="宋体"/>
          <w:sz w:val="28"/>
          <w:szCs w:val="28"/>
          <w:lang w:val="zh-CN"/>
        </w:rPr>
        <w:t>日</w:t>
      </w:r>
      <w:r>
        <w:rPr>
          <w:rFonts w:hint="eastAsia" w:ascii="宋体" w:hAnsi="宋体"/>
          <w:sz w:val="28"/>
          <w:szCs w:val="28"/>
          <w:lang w:val="zh-CN" w:eastAsia="zh-CN"/>
        </w:rPr>
        <w:t>当日</w:t>
      </w:r>
      <w:r>
        <w:rPr>
          <w:rFonts w:hint="eastAsia" w:ascii="宋体" w:hAnsi="宋体"/>
          <w:sz w:val="28"/>
          <w:szCs w:val="28"/>
        </w:rPr>
        <w:t>9</w:t>
      </w:r>
      <w:r>
        <w:rPr>
          <w:rFonts w:hint="eastAsia" w:ascii="宋体" w:hAnsi="宋体"/>
          <w:sz w:val="28"/>
          <w:szCs w:val="28"/>
          <w:lang w:val="zh-CN"/>
        </w:rPr>
        <w:t>时</w:t>
      </w:r>
      <w:r>
        <w:rPr>
          <w:rFonts w:hint="eastAsia" w:ascii="宋体" w:hAnsi="宋体"/>
          <w:sz w:val="28"/>
          <w:szCs w:val="28"/>
        </w:rPr>
        <w:t>30分</w:t>
      </w:r>
      <w:r>
        <w:rPr>
          <w:rFonts w:hint="eastAsia" w:ascii="宋体" w:hAnsi="宋体"/>
          <w:sz w:val="28"/>
          <w:szCs w:val="28"/>
          <w:lang w:val="zh-CN"/>
        </w:rPr>
        <w:t>前（9时开始受理，</w:t>
      </w:r>
      <w:r>
        <w:rPr>
          <w:rFonts w:hint="eastAsia" w:ascii="宋体" w:hAnsi="宋体"/>
          <w:sz w:val="28"/>
          <w:szCs w:val="28"/>
        </w:rPr>
        <w:t>请装订密</w:t>
      </w:r>
      <w:bookmarkStart w:id="8" w:name="_GoBack"/>
      <w:bookmarkEnd w:id="8"/>
      <w:r>
        <w:rPr>
          <w:rFonts w:hint="eastAsia" w:ascii="宋体" w:hAnsi="宋体"/>
          <w:sz w:val="28"/>
          <w:szCs w:val="28"/>
        </w:rPr>
        <w:t>封</w:t>
      </w:r>
      <w:r>
        <w:rPr>
          <w:rFonts w:hint="eastAsia" w:ascii="宋体" w:hAnsi="宋体"/>
          <w:sz w:val="28"/>
          <w:szCs w:val="28"/>
          <w:lang w:val="zh-CN"/>
        </w:rPr>
        <w:t>）,截止时间即为报价时间。逾期送达的响应文件恕不接受。</w:t>
      </w:r>
    </w:p>
    <w:p>
      <w:pPr>
        <w:autoSpaceDE w:val="0"/>
        <w:autoSpaceDN w:val="0"/>
        <w:ind w:firstLine="562" w:firstLineChars="200"/>
        <w:rPr>
          <w:rFonts w:ascii="宋体" w:hAnsi="宋体"/>
          <w:sz w:val="28"/>
          <w:szCs w:val="28"/>
          <w:lang w:val="zh-CN"/>
        </w:rPr>
      </w:pPr>
      <w:r>
        <w:rPr>
          <w:rFonts w:hint="eastAsia" w:ascii="宋体" w:hAnsi="宋体"/>
          <w:b/>
          <w:sz w:val="28"/>
          <w:szCs w:val="28"/>
        </w:rPr>
        <w:t>六</w:t>
      </w:r>
      <w:r>
        <w:rPr>
          <w:rFonts w:hint="eastAsia" w:ascii="宋体" w:hAnsi="宋体"/>
          <w:b/>
          <w:sz w:val="28"/>
          <w:szCs w:val="28"/>
          <w:lang w:val="zh-CN"/>
        </w:rPr>
        <w:t>、响应文件送达地点、</w:t>
      </w:r>
      <w:r>
        <w:rPr>
          <w:rFonts w:hint="eastAsia"/>
          <w:b/>
          <w:bCs/>
          <w:sz w:val="28"/>
          <w:szCs w:val="28"/>
        </w:rPr>
        <w:t>联系人和联系方式</w:t>
      </w:r>
    </w:p>
    <w:p>
      <w:pPr>
        <w:ind w:firstLine="560" w:firstLineChars="200"/>
        <w:rPr>
          <w:rFonts w:ascii="宋体" w:hAnsi="宋体"/>
          <w:sz w:val="28"/>
          <w:szCs w:val="28"/>
          <w:lang w:val="hr-HR" w:bidi="ar-EG"/>
        </w:rPr>
      </w:pPr>
      <w:r>
        <w:rPr>
          <w:rFonts w:hint="eastAsia" w:ascii="宋体" w:hAnsi="宋体"/>
          <w:sz w:val="28"/>
          <w:szCs w:val="28"/>
          <w:lang w:val="hr-HR" w:bidi="ar-EG"/>
        </w:rPr>
        <w:t xml:space="preserve">1、地址： </w:t>
      </w:r>
      <w:r>
        <w:rPr>
          <w:rFonts w:hint="eastAsia"/>
          <w:sz w:val="28"/>
          <w:szCs w:val="28"/>
        </w:rPr>
        <w:t>南宁市明秀东路175号南宁师范大学鸿远楼231</w:t>
      </w:r>
      <w:r>
        <w:rPr>
          <w:rFonts w:hint="eastAsia"/>
          <w:spacing w:val="-12"/>
          <w:sz w:val="28"/>
          <w:szCs w:val="28"/>
        </w:rPr>
        <w:t>室</w:t>
      </w:r>
      <w:r>
        <w:rPr>
          <w:rFonts w:hint="eastAsia" w:ascii="宋体" w:hAnsi="宋体"/>
          <w:sz w:val="28"/>
          <w:szCs w:val="28"/>
          <w:lang w:val="hr-HR" w:bidi="ar-EG"/>
        </w:rPr>
        <w:t>。</w:t>
      </w:r>
    </w:p>
    <w:p>
      <w:pPr>
        <w:pStyle w:val="2"/>
        <w:ind w:firstLine="560" w:firstLineChars="200"/>
        <w:rPr>
          <w:sz w:val="28"/>
          <w:szCs w:val="28"/>
        </w:rPr>
      </w:pPr>
      <w:r>
        <w:rPr>
          <w:rFonts w:hint="eastAsia" w:hAnsi="宋体"/>
          <w:sz w:val="28"/>
          <w:szCs w:val="28"/>
          <w:lang w:val="hr-HR" w:bidi="ar-EG"/>
        </w:rPr>
        <w:t>2、</w:t>
      </w:r>
      <w:r>
        <w:rPr>
          <w:rFonts w:hint="eastAsia" w:hAnsi="宋体"/>
          <w:sz w:val="28"/>
          <w:szCs w:val="28"/>
          <w:lang w:bidi="ar-EG"/>
        </w:rPr>
        <w:t>联系人：汪老师 丘老师，</w:t>
      </w:r>
      <w:r>
        <w:rPr>
          <w:rFonts w:hint="eastAsia"/>
          <w:sz w:val="28"/>
          <w:szCs w:val="28"/>
        </w:rPr>
        <w:t xml:space="preserve">电话:  0771-3908051 </w:t>
      </w:r>
    </w:p>
    <w:p>
      <w:pPr>
        <w:ind w:firstLine="562" w:firstLineChars="200"/>
        <w:rPr>
          <w:rFonts w:ascii="宋体" w:hAnsi="宋体"/>
          <w:sz w:val="28"/>
          <w:szCs w:val="28"/>
          <w:lang w:val="hr-HR"/>
        </w:rPr>
      </w:pPr>
      <w:r>
        <w:rPr>
          <w:rFonts w:hint="eastAsia" w:ascii="宋体" w:hAnsi="宋体"/>
          <w:b/>
          <w:sz w:val="28"/>
          <w:szCs w:val="28"/>
        </w:rPr>
        <w:t>七</w:t>
      </w:r>
      <w:r>
        <w:rPr>
          <w:rFonts w:hint="eastAsia" w:ascii="宋体" w:hAnsi="宋体"/>
          <w:b/>
          <w:sz w:val="28"/>
          <w:szCs w:val="28"/>
          <w:lang w:val="hr-HR"/>
        </w:rPr>
        <w:t>、公告媒体</w:t>
      </w:r>
      <w:r>
        <w:rPr>
          <w:rFonts w:hint="eastAsia" w:ascii="宋体" w:hAnsi="宋体"/>
          <w:sz w:val="28"/>
          <w:szCs w:val="28"/>
          <w:lang w:val="hr-HR"/>
        </w:rPr>
        <w:t>:</w:t>
      </w:r>
      <w:r>
        <w:rPr>
          <w:rFonts w:hint="eastAsia" w:ascii="宋体" w:hAnsi="宋体"/>
          <w:sz w:val="28"/>
          <w:szCs w:val="28"/>
        </w:rPr>
        <w:t>南宁师范大学校园网</w:t>
      </w:r>
      <w:r>
        <w:rPr>
          <w:rFonts w:hint="eastAsia"/>
          <w:sz w:val="28"/>
          <w:szCs w:val="28"/>
        </w:rPr>
        <w:t>网站（</w:t>
      </w:r>
      <w:r>
        <w:fldChar w:fldCharType="begin"/>
      </w:r>
      <w:r>
        <w:instrText xml:space="preserve"> HYPERLINK "http://www.gxgp.cn" </w:instrText>
      </w:r>
      <w:r>
        <w:fldChar w:fldCharType="separate"/>
      </w:r>
      <w:r>
        <w:rPr>
          <w:rStyle w:val="10"/>
          <w:rFonts w:hint="eastAsia"/>
          <w:color w:val="auto"/>
          <w:sz w:val="28"/>
          <w:szCs w:val="28"/>
        </w:rPr>
        <w:t>www.gxtc.edu.cn</w:t>
      </w:r>
      <w:r>
        <w:rPr>
          <w:rStyle w:val="10"/>
          <w:rFonts w:hint="eastAsia"/>
          <w:color w:val="auto"/>
          <w:sz w:val="28"/>
          <w:szCs w:val="28"/>
        </w:rPr>
        <w:fldChar w:fldCharType="end"/>
      </w:r>
      <w:r>
        <w:rPr>
          <w:rFonts w:hint="eastAsia"/>
          <w:sz w:val="28"/>
          <w:szCs w:val="28"/>
        </w:rPr>
        <w:t>）。</w:t>
      </w:r>
    </w:p>
    <w:p>
      <w:pPr>
        <w:ind w:firstLine="539"/>
        <w:rPr>
          <w:rFonts w:ascii="宋体" w:hAnsi="宋体"/>
          <w:sz w:val="28"/>
          <w:szCs w:val="28"/>
        </w:rPr>
      </w:pPr>
    </w:p>
    <w:p>
      <w:pPr>
        <w:ind w:firstLine="539"/>
        <w:jc w:val="center"/>
        <w:rPr>
          <w:rFonts w:ascii="宋体" w:hAnsi="宋体"/>
          <w:sz w:val="28"/>
          <w:szCs w:val="28"/>
          <w:lang w:val="hr-HR"/>
        </w:rPr>
      </w:pPr>
    </w:p>
    <w:p>
      <w:pPr>
        <w:ind w:firstLine="539"/>
        <w:jc w:val="center"/>
        <w:rPr>
          <w:rFonts w:ascii="宋体" w:hAnsi="宋体"/>
          <w:b/>
          <w:sz w:val="28"/>
          <w:szCs w:val="28"/>
          <w:lang w:val="hr-HR"/>
        </w:rPr>
      </w:pPr>
    </w:p>
    <w:p>
      <w:pPr>
        <w:ind w:firstLine="3960"/>
        <w:jc w:val="center"/>
        <w:rPr>
          <w:rFonts w:ascii="宋体" w:hAnsi="宋体"/>
          <w:sz w:val="28"/>
          <w:szCs w:val="28"/>
          <w:u w:val="single"/>
          <w:lang w:val="hr-HR"/>
        </w:rPr>
      </w:pPr>
      <w:r>
        <w:rPr>
          <w:rFonts w:hint="eastAsia" w:ascii="宋体" w:hAnsi="宋体"/>
          <w:sz w:val="28"/>
          <w:szCs w:val="28"/>
        </w:rPr>
        <w:t xml:space="preserve">         南宁师范大学</w:t>
      </w:r>
    </w:p>
    <w:p>
      <w:pPr>
        <w:ind w:firstLine="539"/>
        <w:jc w:val="center"/>
        <w:rPr>
          <w:sz w:val="28"/>
          <w:szCs w:val="28"/>
        </w:rPr>
      </w:pPr>
      <w:r>
        <w:rPr>
          <w:rFonts w:hint="eastAsia" w:ascii="宋体" w:hAnsi="宋体"/>
          <w:sz w:val="28"/>
          <w:szCs w:val="28"/>
        </w:rPr>
        <w:t xml:space="preserve">                                </w:t>
      </w:r>
      <w:r>
        <w:rPr>
          <w:rFonts w:hint="eastAsia" w:ascii="宋体" w:hAnsi="宋体"/>
          <w:sz w:val="28"/>
          <w:szCs w:val="28"/>
          <w:lang w:val="hr-HR"/>
        </w:rPr>
        <w:t>201</w:t>
      </w:r>
      <w:r>
        <w:rPr>
          <w:rFonts w:hint="eastAsia" w:ascii="宋体" w:hAnsi="宋体"/>
          <w:sz w:val="28"/>
          <w:szCs w:val="28"/>
        </w:rPr>
        <w:t>9</w:t>
      </w:r>
      <w:r>
        <w:rPr>
          <w:rFonts w:hint="eastAsia" w:ascii="宋体" w:hAnsi="宋体"/>
          <w:sz w:val="28"/>
          <w:szCs w:val="28"/>
          <w:lang w:val="hr-HR"/>
        </w:rPr>
        <w:t>年</w:t>
      </w:r>
      <w:r>
        <w:rPr>
          <w:rFonts w:hint="eastAsia" w:ascii="宋体" w:hAnsi="宋体"/>
          <w:sz w:val="28"/>
          <w:szCs w:val="28"/>
          <w:lang w:val="en-US" w:eastAsia="zh-CN"/>
        </w:rPr>
        <w:t>8</w:t>
      </w:r>
      <w:r>
        <w:rPr>
          <w:rFonts w:hint="eastAsia" w:ascii="宋体" w:hAnsi="宋体"/>
          <w:sz w:val="28"/>
          <w:szCs w:val="28"/>
          <w:lang w:val="hr-HR"/>
        </w:rPr>
        <w:t>月</w:t>
      </w:r>
      <w:r>
        <w:rPr>
          <w:rFonts w:hint="eastAsia" w:ascii="宋体" w:hAnsi="宋体"/>
          <w:sz w:val="28"/>
          <w:szCs w:val="28"/>
          <w:lang w:val="en-US" w:eastAsia="zh-CN"/>
        </w:rPr>
        <w:t>5</w:t>
      </w:r>
      <w:r>
        <w:rPr>
          <w:rFonts w:hint="eastAsia" w:ascii="宋体" w:hAnsi="宋体"/>
          <w:sz w:val="28"/>
          <w:szCs w:val="28"/>
          <w:lang w:val="hr-HR"/>
        </w:rPr>
        <w:t>日</w:t>
      </w:r>
    </w:p>
    <w:p>
      <w:pPr>
        <w:rPr>
          <w:sz w:val="32"/>
          <w:szCs w:val="32"/>
        </w:rPr>
      </w:pPr>
      <w:r>
        <w:rPr>
          <w:sz w:val="32"/>
          <w:szCs w:val="32"/>
        </w:rPr>
        <w:br w:type="page"/>
      </w:r>
    </w:p>
    <w:p>
      <w:pPr>
        <w:jc w:val="center"/>
        <w:rPr>
          <w:rFonts w:ascii="方正小标宋_GBK" w:hAnsi="方正小标宋_GBK" w:eastAsia="方正小标宋_GBK" w:cs="方正小标宋_GBK"/>
          <w:b/>
          <w:bCs/>
          <w:sz w:val="36"/>
          <w:szCs w:val="36"/>
        </w:rPr>
      </w:pPr>
      <w:r>
        <w:rPr>
          <w:rFonts w:hint="eastAsia" w:ascii="方正小标宋_GBK" w:hAnsi="方正小标宋_GBK" w:eastAsia="方正小标宋_GBK" w:cs="方正小标宋_GBK"/>
          <w:b/>
          <w:bCs/>
          <w:sz w:val="36"/>
          <w:szCs w:val="36"/>
        </w:rPr>
        <w:t>南宁师范大学市内用车定点租赁和住宿酒店定点服务单位遴选询价文件</w:t>
      </w:r>
    </w:p>
    <w:p>
      <w:pPr>
        <w:rPr>
          <w:b/>
          <w:bCs/>
          <w:sz w:val="32"/>
          <w:szCs w:val="32"/>
        </w:rPr>
      </w:pPr>
    </w:p>
    <w:p>
      <w:pPr>
        <w:ind w:firstLine="562" w:firstLineChars="200"/>
        <w:rPr>
          <w:sz w:val="28"/>
          <w:szCs w:val="28"/>
        </w:rPr>
      </w:pPr>
      <w:r>
        <w:rPr>
          <w:rFonts w:hint="eastAsia"/>
          <w:b/>
          <w:bCs/>
          <w:sz w:val="28"/>
          <w:szCs w:val="28"/>
        </w:rPr>
        <w:t>一、需求说明</w:t>
      </w:r>
    </w:p>
    <w:p>
      <w:pPr>
        <w:ind w:firstLine="560" w:firstLineChars="200"/>
        <w:rPr>
          <w:sz w:val="28"/>
          <w:szCs w:val="28"/>
        </w:rPr>
      </w:pPr>
      <w:r>
        <w:rPr>
          <w:rFonts w:hint="eastAsia"/>
          <w:sz w:val="28"/>
          <w:szCs w:val="28"/>
        </w:rPr>
        <w:t>本次遴选询价包含两项询价内容，一是校内各部门或教职工用于市内日常工作接待、科学研究等的用车定点租赁，二是相关部门进行学员培训时所需的定点住宿酒店。各供应商根据自身的经营范围和服务能力选择其中的一项按要求进行报价。</w:t>
      </w:r>
    </w:p>
    <w:p>
      <w:pPr>
        <w:ind w:firstLine="560" w:firstLineChars="200"/>
        <w:rPr>
          <w:sz w:val="28"/>
          <w:szCs w:val="28"/>
        </w:rPr>
      </w:pPr>
      <w:r>
        <w:rPr>
          <w:rFonts w:hint="eastAsia"/>
          <w:sz w:val="28"/>
          <w:szCs w:val="28"/>
        </w:rPr>
        <w:t>（一）市内用车定点租赁服务需求</w:t>
      </w:r>
    </w:p>
    <w:p>
      <w:pPr>
        <w:ind w:firstLine="560" w:firstLineChars="200"/>
        <w:rPr>
          <w:sz w:val="28"/>
          <w:szCs w:val="28"/>
        </w:rPr>
      </w:pPr>
      <w:r>
        <w:rPr>
          <w:rFonts w:hint="eastAsia"/>
          <w:sz w:val="28"/>
          <w:szCs w:val="28"/>
        </w:rPr>
        <w:t>确定不超过六家的供应商为学校市内用车定点租赁服务单位，确定租赁车型、服务内容及价格并在一定服务期内保持固定。服务期限为自签订合同之日起两年。</w:t>
      </w:r>
    </w:p>
    <w:p>
      <w:pPr>
        <w:ind w:firstLine="560" w:firstLineChars="200"/>
        <w:rPr>
          <w:sz w:val="28"/>
          <w:szCs w:val="28"/>
        </w:rPr>
      </w:pPr>
      <w:r>
        <w:rPr>
          <w:rFonts w:hint="eastAsia"/>
          <w:sz w:val="28"/>
          <w:szCs w:val="28"/>
        </w:rPr>
        <w:t>（二）住宿酒店服务需求</w:t>
      </w:r>
    </w:p>
    <w:p>
      <w:pPr>
        <w:ind w:firstLine="560" w:firstLineChars="200"/>
        <w:rPr>
          <w:sz w:val="28"/>
          <w:szCs w:val="28"/>
        </w:rPr>
      </w:pPr>
      <w:r>
        <w:rPr>
          <w:rFonts w:hint="eastAsia"/>
          <w:sz w:val="28"/>
          <w:szCs w:val="28"/>
        </w:rPr>
        <w:t>确定不超过十二家的供应商为学校培训所需住宿酒店定点服务单位，确定相应标准的酒店客房、服务内容及价格并在一定服务期内保持固定。服务期限为自签订合同之日起两年。</w:t>
      </w:r>
    </w:p>
    <w:p>
      <w:pPr>
        <w:ind w:firstLine="562" w:firstLineChars="200"/>
        <w:rPr>
          <w:b/>
          <w:bCs/>
          <w:sz w:val="28"/>
          <w:szCs w:val="28"/>
        </w:rPr>
      </w:pPr>
      <w:r>
        <w:rPr>
          <w:rFonts w:hint="eastAsia"/>
          <w:b/>
          <w:bCs/>
          <w:sz w:val="28"/>
          <w:szCs w:val="28"/>
        </w:rPr>
        <w:t>二、服务单位资格要求</w:t>
      </w:r>
    </w:p>
    <w:p>
      <w:pPr>
        <w:ind w:firstLine="560" w:firstLineChars="200"/>
        <w:rPr>
          <w:rFonts w:ascii="宋体" w:hAnsi="宋体"/>
          <w:sz w:val="28"/>
          <w:szCs w:val="28"/>
        </w:rPr>
      </w:pPr>
      <w:r>
        <w:rPr>
          <w:rFonts w:hint="eastAsia" w:ascii="宋体" w:hAnsi="宋体"/>
          <w:sz w:val="28"/>
          <w:szCs w:val="28"/>
        </w:rPr>
        <w:t>（一）车辆租赁企业</w:t>
      </w:r>
    </w:p>
    <w:p>
      <w:pPr>
        <w:ind w:firstLine="560" w:firstLineChars="200"/>
        <w:rPr>
          <w:rFonts w:ascii="宋体" w:hAnsi="宋体"/>
          <w:sz w:val="28"/>
          <w:szCs w:val="28"/>
        </w:rPr>
      </w:pPr>
      <w:r>
        <w:rPr>
          <w:rFonts w:hint="eastAsia" w:ascii="宋体" w:hAnsi="宋体"/>
          <w:sz w:val="28"/>
          <w:szCs w:val="28"/>
        </w:rPr>
        <w:t>1、具备独立法人资格，满足《中华人民共和国政府采购法》第二十二条规定的条件。</w:t>
      </w:r>
    </w:p>
    <w:p>
      <w:pPr>
        <w:ind w:firstLine="560" w:firstLineChars="200"/>
        <w:rPr>
          <w:rFonts w:ascii="宋体" w:hAnsi="宋体"/>
          <w:sz w:val="28"/>
          <w:szCs w:val="28"/>
        </w:rPr>
      </w:pPr>
      <w:r>
        <w:rPr>
          <w:rFonts w:hint="eastAsia" w:ascii="宋体" w:hAnsi="宋体"/>
          <w:sz w:val="28"/>
          <w:szCs w:val="28"/>
        </w:rPr>
        <w:t>2、具备相应的设备设施和专业服务人员，守法经营，具备为学校提供稳定的用车租赁服务的条件和能力。</w:t>
      </w:r>
    </w:p>
    <w:p>
      <w:pPr>
        <w:ind w:firstLine="560" w:firstLineChars="200"/>
        <w:rPr>
          <w:rFonts w:ascii="宋体" w:hAnsi="宋体"/>
          <w:sz w:val="28"/>
          <w:szCs w:val="28"/>
          <w:highlight w:val="yellow"/>
        </w:rPr>
      </w:pPr>
      <w:r>
        <w:rPr>
          <w:rFonts w:hint="eastAsia" w:ascii="宋体" w:hAnsi="宋体"/>
          <w:sz w:val="28"/>
          <w:szCs w:val="28"/>
        </w:rPr>
        <w:t>3、近三年内，在经营活动中没有重大违法记录和不良信用记录；（被列入失信被执行人、重大税收违法案件当事人名单、政府采购严重违法失信行为记录名单及其他不符合《中华人民共和国政府采购法》第二十二条规定条件的供应商，将被拒绝其参与本次询价采购活动。供应商可在“信用中国”网站（</w:t>
      </w:r>
      <w:r>
        <w:fldChar w:fldCharType="begin"/>
      </w:r>
      <w:r>
        <w:instrText xml:space="preserve"> HYPERLINK "http://www.creditchina.gov.cn" </w:instrText>
      </w:r>
      <w:r>
        <w:fldChar w:fldCharType="separate"/>
      </w:r>
      <w:r>
        <w:rPr>
          <w:rStyle w:val="10"/>
          <w:rFonts w:hint="eastAsia" w:ascii="宋体" w:hAnsi="宋体"/>
          <w:color w:val="auto"/>
          <w:sz w:val="28"/>
          <w:szCs w:val="28"/>
        </w:rPr>
        <w:t>www.creditchina.gov.cn</w:t>
      </w:r>
      <w:r>
        <w:rPr>
          <w:rStyle w:val="10"/>
          <w:rFonts w:hint="eastAsia" w:ascii="宋体" w:hAnsi="宋体"/>
          <w:color w:val="auto"/>
          <w:sz w:val="28"/>
          <w:szCs w:val="28"/>
        </w:rPr>
        <w:fldChar w:fldCharType="end"/>
      </w:r>
      <w:r>
        <w:rPr>
          <w:rFonts w:hint="eastAsia" w:ascii="宋体" w:hAnsi="宋体"/>
          <w:sz w:val="28"/>
          <w:szCs w:val="28"/>
        </w:rPr>
        <w:t>）或中国政府采购网（</w:t>
      </w:r>
      <w:r>
        <w:fldChar w:fldCharType="begin"/>
      </w:r>
      <w:r>
        <w:instrText xml:space="preserve"> HYPERLINK "http://www.ccgp.gov.cn" </w:instrText>
      </w:r>
      <w:r>
        <w:fldChar w:fldCharType="separate"/>
      </w:r>
      <w:r>
        <w:rPr>
          <w:rStyle w:val="10"/>
          <w:rFonts w:hint="eastAsia" w:ascii="宋体" w:hAnsi="宋体"/>
          <w:color w:val="auto"/>
          <w:sz w:val="28"/>
          <w:szCs w:val="28"/>
        </w:rPr>
        <w:t>www.ccgp.gov.cn</w:t>
      </w:r>
      <w:r>
        <w:rPr>
          <w:rStyle w:val="10"/>
          <w:rFonts w:hint="eastAsia" w:ascii="宋体" w:hAnsi="宋体"/>
          <w:color w:val="auto"/>
          <w:sz w:val="28"/>
          <w:szCs w:val="28"/>
        </w:rPr>
        <w:fldChar w:fldCharType="end"/>
      </w:r>
      <w:r>
        <w:rPr>
          <w:rFonts w:hint="eastAsia" w:ascii="宋体" w:hAnsi="宋体"/>
          <w:sz w:val="28"/>
          <w:szCs w:val="28"/>
        </w:rPr>
        <w:t>）查询相关供应商主体信用记录，同时须在响应文件中将查询结果截图加盖单位公章如实报告询价小组）。</w:t>
      </w:r>
    </w:p>
    <w:p>
      <w:pPr>
        <w:ind w:firstLine="560" w:firstLineChars="200"/>
        <w:rPr>
          <w:rFonts w:ascii="宋体" w:hAnsi="宋体"/>
          <w:sz w:val="28"/>
          <w:szCs w:val="28"/>
        </w:rPr>
      </w:pPr>
      <w:r>
        <w:rPr>
          <w:rFonts w:hint="eastAsia" w:ascii="宋体" w:hAnsi="宋体"/>
          <w:sz w:val="28"/>
          <w:szCs w:val="28"/>
        </w:rPr>
        <w:t>（二）住宿酒店企业</w:t>
      </w:r>
    </w:p>
    <w:p>
      <w:pPr>
        <w:ind w:firstLine="560" w:firstLineChars="200"/>
        <w:rPr>
          <w:rFonts w:ascii="宋体" w:hAnsi="宋体"/>
          <w:sz w:val="28"/>
          <w:szCs w:val="28"/>
        </w:rPr>
      </w:pPr>
      <w:r>
        <w:rPr>
          <w:rFonts w:hint="eastAsia" w:ascii="宋体" w:hAnsi="宋体"/>
          <w:sz w:val="28"/>
          <w:szCs w:val="28"/>
        </w:rPr>
        <w:t>1、具备独立法人资格，满足《中华人民共和国政府采购法》第二十二条规定的条件；</w:t>
      </w:r>
    </w:p>
    <w:p>
      <w:pPr>
        <w:ind w:firstLine="560" w:firstLineChars="200"/>
        <w:rPr>
          <w:rFonts w:ascii="宋体" w:hAnsi="宋体"/>
          <w:sz w:val="28"/>
          <w:szCs w:val="28"/>
        </w:rPr>
      </w:pPr>
      <w:r>
        <w:rPr>
          <w:rFonts w:hint="eastAsia" w:ascii="宋体" w:hAnsi="宋体"/>
          <w:sz w:val="28"/>
          <w:szCs w:val="28"/>
        </w:rPr>
        <w:t>2、具备相应的设备设施和专业服务人员，守法经营，具备为学校提供稳定的酒店住宿服务的条件和能力。</w:t>
      </w:r>
    </w:p>
    <w:p>
      <w:pPr>
        <w:ind w:firstLine="560" w:firstLineChars="200"/>
        <w:rPr>
          <w:rFonts w:ascii="宋体" w:hAnsi="宋体"/>
          <w:sz w:val="28"/>
          <w:szCs w:val="28"/>
        </w:rPr>
      </w:pPr>
      <w:r>
        <w:rPr>
          <w:rFonts w:hint="eastAsia" w:ascii="宋体" w:hAnsi="宋体"/>
          <w:sz w:val="28"/>
          <w:szCs w:val="28"/>
        </w:rPr>
        <w:t>3、近三年内，在经营活动中没有重大违法记录和不良信用记录；（被列入失信被执行人、重大税收违法案件当事人名单、政府采购严重违法失信行为记录名单及其他不符合《中华人民共和国政府采购法》第二十二条规定条件的供应商，将被拒绝其参与本次询价采购活动。供应商可在“信用中国”网站（</w:t>
      </w:r>
      <w:r>
        <w:fldChar w:fldCharType="begin"/>
      </w:r>
      <w:r>
        <w:instrText xml:space="preserve"> HYPERLINK "http://www.creditchina.gov.cn" </w:instrText>
      </w:r>
      <w:r>
        <w:fldChar w:fldCharType="separate"/>
      </w:r>
      <w:r>
        <w:rPr>
          <w:rStyle w:val="10"/>
          <w:rFonts w:hint="eastAsia" w:ascii="宋体" w:hAnsi="宋体"/>
          <w:color w:val="auto"/>
          <w:sz w:val="28"/>
          <w:szCs w:val="28"/>
        </w:rPr>
        <w:t>www.creditchina.gov.cn</w:t>
      </w:r>
      <w:r>
        <w:rPr>
          <w:rStyle w:val="10"/>
          <w:rFonts w:hint="eastAsia" w:ascii="宋体" w:hAnsi="宋体"/>
          <w:color w:val="auto"/>
          <w:sz w:val="28"/>
          <w:szCs w:val="28"/>
        </w:rPr>
        <w:fldChar w:fldCharType="end"/>
      </w:r>
      <w:r>
        <w:rPr>
          <w:rFonts w:hint="eastAsia" w:ascii="宋体" w:hAnsi="宋体"/>
          <w:sz w:val="28"/>
          <w:szCs w:val="28"/>
        </w:rPr>
        <w:t>）或中国政府采购网（</w:t>
      </w:r>
      <w:r>
        <w:fldChar w:fldCharType="begin"/>
      </w:r>
      <w:r>
        <w:instrText xml:space="preserve"> HYPERLINK "http://www.ccgp.gov.cn" </w:instrText>
      </w:r>
      <w:r>
        <w:fldChar w:fldCharType="separate"/>
      </w:r>
      <w:r>
        <w:rPr>
          <w:rStyle w:val="10"/>
          <w:rFonts w:hint="eastAsia" w:ascii="宋体" w:hAnsi="宋体"/>
          <w:color w:val="auto"/>
          <w:sz w:val="28"/>
          <w:szCs w:val="28"/>
        </w:rPr>
        <w:t>www.ccgp.gov.cn</w:t>
      </w:r>
      <w:r>
        <w:rPr>
          <w:rStyle w:val="10"/>
          <w:rFonts w:hint="eastAsia" w:ascii="宋体" w:hAnsi="宋体"/>
          <w:color w:val="auto"/>
          <w:sz w:val="28"/>
          <w:szCs w:val="28"/>
        </w:rPr>
        <w:fldChar w:fldCharType="end"/>
      </w:r>
      <w:r>
        <w:rPr>
          <w:rFonts w:hint="eastAsia" w:ascii="宋体" w:hAnsi="宋体"/>
          <w:sz w:val="28"/>
          <w:szCs w:val="28"/>
        </w:rPr>
        <w:t>）查询相关供应商主体信用记录，同时须在响应文件中将查询结果截图加盖单位公章如实报告询价小组）。</w:t>
      </w:r>
    </w:p>
    <w:p>
      <w:pPr>
        <w:rPr>
          <w:sz w:val="28"/>
          <w:szCs w:val="28"/>
        </w:rPr>
      </w:pPr>
    </w:p>
    <w:p>
      <w:pPr>
        <w:ind w:firstLine="562" w:firstLineChars="200"/>
        <w:rPr>
          <w:b/>
          <w:bCs/>
          <w:sz w:val="28"/>
          <w:szCs w:val="28"/>
        </w:rPr>
      </w:pPr>
      <w:r>
        <w:rPr>
          <w:rFonts w:hint="eastAsia"/>
          <w:b/>
          <w:bCs/>
          <w:sz w:val="28"/>
          <w:szCs w:val="28"/>
        </w:rPr>
        <w:t>三、报价响应文件编制及其要求</w:t>
      </w:r>
    </w:p>
    <w:p>
      <w:pPr>
        <w:ind w:firstLine="560" w:firstLineChars="200"/>
        <w:rPr>
          <w:sz w:val="28"/>
          <w:szCs w:val="28"/>
        </w:rPr>
      </w:pPr>
      <w:r>
        <w:rPr>
          <w:sz w:val="28"/>
          <w:szCs w:val="28"/>
        </w:rPr>
        <w:t>供应商编写的且在响应文件递交截止时间前递交的响应文件必须包括</w:t>
      </w:r>
      <w:r>
        <w:rPr>
          <w:rFonts w:hint="eastAsia"/>
          <w:sz w:val="28"/>
          <w:szCs w:val="28"/>
        </w:rPr>
        <w:t>商务资格响应文件和报价响应文件两部分的</w:t>
      </w:r>
      <w:r>
        <w:rPr>
          <w:sz w:val="28"/>
          <w:szCs w:val="28"/>
        </w:rPr>
        <w:t>内容：</w:t>
      </w:r>
    </w:p>
    <w:p>
      <w:pPr>
        <w:ind w:firstLine="560" w:firstLineChars="200"/>
        <w:rPr>
          <w:sz w:val="28"/>
          <w:szCs w:val="28"/>
        </w:rPr>
      </w:pPr>
      <w:r>
        <w:rPr>
          <w:rFonts w:hint="eastAsia"/>
          <w:sz w:val="28"/>
          <w:szCs w:val="28"/>
        </w:rPr>
        <w:t>（一）商务资格响应文件</w:t>
      </w:r>
    </w:p>
    <w:p>
      <w:pPr>
        <w:ind w:firstLine="560" w:firstLineChars="200"/>
        <w:rPr>
          <w:sz w:val="28"/>
          <w:szCs w:val="28"/>
        </w:rPr>
      </w:pPr>
      <w:r>
        <w:rPr>
          <w:sz w:val="28"/>
          <w:szCs w:val="28"/>
        </w:rPr>
        <w:t>（</w:t>
      </w:r>
      <w:r>
        <w:rPr>
          <w:rFonts w:hint="eastAsia"/>
          <w:sz w:val="28"/>
          <w:szCs w:val="28"/>
        </w:rPr>
        <w:t>1</w:t>
      </w:r>
      <w:r>
        <w:rPr>
          <w:sz w:val="28"/>
          <w:szCs w:val="28"/>
        </w:rPr>
        <w:t>）有效的营业执照等证明文件</w:t>
      </w:r>
      <w:r>
        <w:rPr>
          <w:rFonts w:hint="eastAsia"/>
          <w:sz w:val="28"/>
          <w:szCs w:val="28"/>
        </w:rPr>
        <w:t>复印</w:t>
      </w:r>
      <w:r>
        <w:rPr>
          <w:sz w:val="28"/>
          <w:szCs w:val="28"/>
        </w:rPr>
        <w:t>件</w:t>
      </w:r>
      <w:r>
        <w:rPr>
          <w:rFonts w:hint="eastAsia"/>
          <w:sz w:val="28"/>
          <w:szCs w:val="28"/>
        </w:rPr>
        <w:t>（加盖单位公章）</w:t>
      </w:r>
      <w:r>
        <w:rPr>
          <w:sz w:val="28"/>
          <w:szCs w:val="28"/>
        </w:rPr>
        <w:t>；</w:t>
      </w:r>
    </w:p>
    <w:p>
      <w:pPr>
        <w:ind w:firstLine="560" w:firstLineChars="200"/>
        <w:rPr>
          <w:sz w:val="28"/>
          <w:szCs w:val="28"/>
        </w:rPr>
      </w:pPr>
      <w:r>
        <w:rPr>
          <w:rFonts w:hint="eastAsia"/>
          <w:sz w:val="28"/>
          <w:szCs w:val="28"/>
        </w:rPr>
        <w:t>（2）</w:t>
      </w:r>
      <w:r>
        <w:rPr>
          <w:sz w:val="28"/>
          <w:szCs w:val="28"/>
        </w:rPr>
        <w:t>有效的经营资质证书副本内页</w:t>
      </w:r>
      <w:r>
        <w:rPr>
          <w:rFonts w:hint="eastAsia"/>
          <w:sz w:val="28"/>
          <w:szCs w:val="28"/>
        </w:rPr>
        <w:t>复印</w:t>
      </w:r>
      <w:r>
        <w:rPr>
          <w:sz w:val="28"/>
          <w:szCs w:val="28"/>
        </w:rPr>
        <w:t>件</w:t>
      </w:r>
      <w:r>
        <w:rPr>
          <w:rFonts w:hint="eastAsia"/>
          <w:sz w:val="28"/>
          <w:szCs w:val="28"/>
        </w:rPr>
        <w:t>（</w:t>
      </w:r>
      <w:r>
        <w:rPr>
          <w:sz w:val="28"/>
          <w:szCs w:val="28"/>
        </w:rPr>
        <w:t>加盖单位公章）；</w:t>
      </w:r>
    </w:p>
    <w:p>
      <w:pPr>
        <w:ind w:firstLine="560" w:firstLineChars="200"/>
        <w:rPr>
          <w:sz w:val="28"/>
          <w:szCs w:val="28"/>
        </w:rPr>
      </w:pPr>
      <w:r>
        <w:rPr>
          <w:sz w:val="28"/>
          <w:szCs w:val="28"/>
        </w:rPr>
        <w:t>（</w:t>
      </w:r>
      <w:r>
        <w:rPr>
          <w:rFonts w:hint="eastAsia"/>
          <w:sz w:val="28"/>
          <w:szCs w:val="28"/>
        </w:rPr>
        <w:t>3</w:t>
      </w:r>
      <w:r>
        <w:rPr>
          <w:sz w:val="28"/>
          <w:szCs w:val="28"/>
        </w:rPr>
        <w:t>）法定代表人身份证复印件（法定代表人参加报价时必须提供）；</w:t>
      </w:r>
    </w:p>
    <w:p>
      <w:pPr>
        <w:ind w:firstLine="560" w:firstLineChars="200"/>
        <w:rPr>
          <w:sz w:val="28"/>
          <w:szCs w:val="28"/>
        </w:rPr>
      </w:pPr>
      <w:r>
        <w:rPr>
          <w:sz w:val="28"/>
          <w:szCs w:val="28"/>
        </w:rPr>
        <w:t>（</w:t>
      </w:r>
      <w:r>
        <w:rPr>
          <w:rFonts w:hint="eastAsia"/>
          <w:sz w:val="28"/>
          <w:szCs w:val="28"/>
        </w:rPr>
        <w:t>4</w:t>
      </w:r>
      <w:r>
        <w:rPr>
          <w:sz w:val="28"/>
          <w:szCs w:val="28"/>
        </w:rPr>
        <w:t xml:space="preserve">）法定代表人授权书原件和委托代理人身份证复印件（委托代理时必须提供）； </w:t>
      </w:r>
    </w:p>
    <w:p>
      <w:pPr>
        <w:ind w:firstLine="560" w:firstLineChars="200"/>
        <w:rPr>
          <w:sz w:val="28"/>
          <w:szCs w:val="28"/>
        </w:rPr>
      </w:pPr>
      <w:r>
        <w:rPr>
          <w:sz w:val="28"/>
          <w:szCs w:val="28"/>
        </w:rPr>
        <w:t>（</w:t>
      </w:r>
      <w:r>
        <w:rPr>
          <w:rFonts w:hint="eastAsia"/>
          <w:sz w:val="28"/>
          <w:szCs w:val="28"/>
        </w:rPr>
        <w:t>5</w:t>
      </w:r>
      <w:r>
        <w:rPr>
          <w:sz w:val="28"/>
          <w:szCs w:val="28"/>
        </w:rPr>
        <w:t>）财务状况报告（格式自拟，必须提供）；</w:t>
      </w:r>
    </w:p>
    <w:p>
      <w:pPr>
        <w:ind w:firstLine="560" w:firstLineChars="200"/>
        <w:rPr>
          <w:sz w:val="28"/>
          <w:szCs w:val="28"/>
        </w:rPr>
      </w:pPr>
      <w:r>
        <w:rPr>
          <w:sz w:val="28"/>
          <w:szCs w:val="28"/>
        </w:rPr>
        <w:t>（</w:t>
      </w:r>
      <w:r>
        <w:rPr>
          <w:rFonts w:hint="eastAsia"/>
          <w:sz w:val="28"/>
          <w:szCs w:val="28"/>
        </w:rPr>
        <w:t>6</w:t>
      </w:r>
      <w:r>
        <w:rPr>
          <w:sz w:val="28"/>
          <w:szCs w:val="28"/>
        </w:rPr>
        <w:t>）响应文件递交截止之日前半年内询价供应商连续三个月的依法纳税的依法缴纳税费或依法免缴税费的证明（复印件，格式自拟，必须提供</w:t>
      </w:r>
      <w:r>
        <w:rPr>
          <w:rFonts w:hint="eastAsia"/>
          <w:sz w:val="28"/>
          <w:szCs w:val="28"/>
        </w:rPr>
        <w:t>并加盖单位公章</w:t>
      </w:r>
      <w:r>
        <w:rPr>
          <w:sz w:val="28"/>
          <w:szCs w:val="28"/>
        </w:rPr>
        <w:t>）；无纳税记录的，应提供由询价供应商所在地主管国税、地税部门出具的《依法纳税或依法免税证明》（格式自拟，复印件，原件备查）。</w:t>
      </w:r>
    </w:p>
    <w:p>
      <w:pPr>
        <w:ind w:firstLine="560" w:firstLineChars="200"/>
        <w:rPr>
          <w:sz w:val="28"/>
          <w:szCs w:val="28"/>
        </w:rPr>
      </w:pPr>
      <w:r>
        <w:rPr>
          <w:sz w:val="28"/>
          <w:szCs w:val="28"/>
        </w:rPr>
        <w:t>（</w:t>
      </w:r>
      <w:r>
        <w:rPr>
          <w:rFonts w:hint="eastAsia"/>
          <w:sz w:val="28"/>
          <w:szCs w:val="28"/>
        </w:rPr>
        <w:t>7</w:t>
      </w:r>
      <w:r>
        <w:rPr>
          <w:sz w:val="28"/>
          <w:szCs w:val="28"/>
        </w:rPr>
        <w:t>）响应文件递交截止之日前半年内询价供应商连续三个月的依法缴纳社保费的缴费凭证（复印件，格式自拟）（必须提供）；无缴费记录的，应提供由询价供应商所在地社保部门出具的《依法缴纳或依法免缴社保费证明》（复印件，格式自拟）。</w:t>
      </w:r>
    </w:p>
    <w:p>
      <w:pPr>
        <w:ind w:firstLine="560" w:firstLineChars="200"/>
        <w:rPr>
          <w:sz w:val="28"/>
          <w:szCs w:val="28"/>
        </w:rPr>
      </w:pPr>
      <w:r>
        <w:rPr>
          <w:sz w:val="28"/>
          <w:szCs w:val="28"/>
        </w:rPr>
        <w:t>（</w:t>
      </w:r>
      <w:r>
        <w:rPr>
          <w:rFonts w:hint="eastAsia"/>
          <w:sz w:val="28"/>
          <w:szCs w:val="28"/>
        </w:rPr>
        <w:t>8</w:t>
      </w:r>
      <w:r>
        <w:rPr>
          <w:sz w:val="28"/>
          <w:szCs w:val="28"/>
        </w:rPr>
        <w:t>）具备履行合同所必需的设备</w:t>
      </w:r>
      <w:r>
        <w:rPr>
          <w:rFonts w:hint="eastAsia"/>
          <w:sz w:val="28"/>
          <w:szCs w:val="28"/>
        </w:rPr>
        <w:t>、设施</w:t>
      </w:r>
      <w:r>
        <w:rPr>
          <w:sz w:val="28"/>
          <w:szCs w:val="28"/>
        </w:rPr>
        <w:t>和专业技术</w:t>
      </w:r>
      <w:r>
        <w:rPr>
          <w:rFonts w:hint="eastAsia"/>
          <w:sz w:val="28"/>
          <w:szCs w:val="28"/>
        </w:rPr>
        <w:t>、服务</w:t>
      </w:r>
      <w:r>
        <w:rPr>
          <w:sz w:val="28"/>
          <w:szCs w:val="28"/>
        </w:rPr>
        <w:t>能力的证明材料；（格式自拟，必须提供</w:t>
      </w:r>
      <w:r>
        <w:rPr>
          <w:rFonts w:hint="eastAsia"/>
          <w:sz w:val="28"/>
          <w:szCs w:val="28"/>
        </w:rPr>
        <w:t>；车辆租赁企业必须提供租赁车辆的所有权归属信息（自购车辆须提供购车发票复印件、合作经营车辆须提供合同复印件（原件备查）</w:t>
      </w:r>
      <w:r>
        <w:rPr>
          <w:sz w:val="28"/>
          <w:szCs w:val="28"/>
        </w:rPr>
        <w:t>）</w:t>
      </w:r>
    </w:p>
    <w:p>
      <w:pPr>
        <w:ind w:firstLine="560" w:firstLineChars="200"/>
        <w:rPr>
          <w:sz w:val="28"/>
          <w:szCs w:val="28"/>
        </w:rPr>
      </w:pPr>
      <w:r>
        <w:rPr>
          <w:sz w:val="28"/>
          <w:szCs w:val="28"/>
        </w:rPr>
        <w:t>（</w:t>
      </w:r>
      <w:r>
        <w:rPr>
          <w:rFonts w:hint="eastAsia"/>
          <w:sz w:val="28"/>
          <w:szCs w:val="28"/>
        </w:rPr>
        <w:t>9</w:t>
      </w:r>
      <w:r>
        <w:rPr>
          <w:sz w:val="28"/>
          <w:szCs w:val="28"/>
        </w:rPr>
        <w:t>）</w:t>
      </w:r>
      <w:r>
        <w:rPr>
          <w:rFonts w:hint="eastAsia"/>
          <w:sz w:val="28"/>
          <w:szCs w:val="28"/>
        </w:rPr>
        <w:t>近</w:t>
      </w:r>
      <w:r>
        <w:rPr>
          <w:sz w:val="28"/>
          <w:szCs w:val="28"/>
        </w:rPr>
        <w:t>三年内在经营活动中没有重大违法记录和不良信用记录的书面声明；（格式自拟，必须提供）（供应商可在“信用中国”网站（www.creditchina.gov.cn）或中国政府采购网（www.ccgp.gov.cn）查询相关供应商主体信用记录，同时须在查询结果截图加盖单位公章与上述书面声明一并提交）</w:t>
      </w:r>
    </w:p>
    <w:p>
      <w:pPr>
        <w:ind w:firstLine="560" w:firstLineChars="200"/>
        <w:rPr>
          <w:sz w:val="28"/>
          <w:szCs w:val="28"/>
        </w:rPr>
      </w:pPr>
      <w:r>
        <w:rPr>
          <w:sz w:val="28"/>
          <w:szCs w:val="28"/>
        </w:rPr>
        <w:t>（1</w:t>
      </w:r>
      <w:r>
        <w:rPr>
          <w:rFonts w:hint="eastAsia"/>
          <w:sz w:val="28"/>
          <w:szCs w:val="28"/>
        </w:rPr>
        <w:t>0</w:t>
      </w:r>
      <w:r>
        <w:rPr>
          <w:sz w:val="28"/>
          <w:szCs w:val="28"/>
        </w:rPr>
        <w:t>）供应商认为必要提供的声明及文件资料。</w:t>
      </w:r>
    </w:p>
    <w:p>
      <w:pPr>
        <w:ind w:firstLine="560" w:firstLineChars="200"/>
        <w:rPr>
          <w:sz w:val="28"/>
          <w:szCs w:val="28"/>
        </w:rPr>
      </w:pPr>
      <w:r>
        <w:rPr>
          <w:rFonts w:hint="eastAsia"/>
          <w:sz w:val="28"/>
          <w:szCs w:val="28"/>
        </w:rPr>
        <w:t>（二）报价响应文件</w:t>
      </w:r>
    </w:p>
    <w:p>
      <w:pPr>
        <w:ind w:firstLine="560" w:firstLineChars="200"/>
        <w:rPr>
          <w:sz w:val="28"/>
          <w:szCs w:val="28"/>
        </w:rPr>
      </w:pPr>
      <w:r>
        <w:rPr>
          <w:sz w:val="28"/>
          <w:szCs w:val="28"/>
        </w:rPr>
        <w:t>（1）报价函</w:t>
      </w:r>
      <w:r>
        <w:rPr>
          <w:rFonts w:hint="eastAsia"/>
          <w:sz w:val="28"/>
          <w:szCs w:val="28"/>
        </w:rPr>
        <w:t>（</w:t>
      </w:r>
      <w:r>
        <w:rPr>
          <w:sz w:val="28"/>
          <w:szCs w:val="28"/>
        </w:rPr>
        <w:t>按询价</w:t>
      </w:r>
      <w:r>
        <w:rPr>
          <w:rFonts w:hint="eastAsia"/>
          <w:sz w:val="28"/>
          <w:szCs w:val="28"/>
        </w:rPr>
        <w:t>书中</w:t>
      </w:r>
      <w:r>
        <w:rPr>
          <w:sz w:val="28"/>
          <w:szCs w:val="28"/>
        </w:rPr>
        <w:t>“报价函（格式）”要求填写（必须提供</w:t>
      </w:r>
      <w:r>
        <w:rPr>
          <w:rFonts w:hint="eastAsia"/>
          <w:sz w:val="28"/>
          <w:szCs w:val="28"/>
        </w:rPr>
        <w:t>，含报价明细表</w:t>
      </w:r>
      <w:r>
        <w:rPr>
          <w:sz w:val="28"/>
          <w:szCs w:val="28"/>
        </w:rPr>
        <w:t>）；</w:t>
      </w:r>
    </w:p>
    <w:p>
      <w:pPr>
        <w:ind w:firstLine="560" w:firstLineChars="200"/>
        <w:rPr>
          <w:sz w:val="28"/>
          <w:szCs w:val="28"/>
        </w:rPr>
      </w:pPr>
      <w:r>
        <w:rPr>
          <w:sz w:val="28"/>
          <w:szCs w:val="28"/>
        </w:rPr>
        <w:t>（2）</w:t>
      </w:r>
      <w:r>
        <w:rPr>
          <w:rFonts w:hint="eastAsia"/>
          <w:sz w:val="28"/>
          <w:szCs w:val="28"/>
        </w:rPr>
        <w:t>服务承诺及服务技术</w:t>
      </w:r>
      <w:r>
        <w:rPr>
          <w:sz w:val="28"/>
          <w:szCs w:val="28"/>
        </w:rPr>
        <w:t>方案(内容可以是提供的切实可行服务实施方案及承诺）（</w:t>
      </w:r>
      <w:r>
        <w:rPr>
          <w:rFonts w:hint="eastAsia"/>
          <w:sz w:val="28"/>
          <w:szCs w:val="28"/>
        </w:rPr>
        <w:t>格式自拟，</w:t>
      </w:r>
      <w:r>
        <w:rPr>
          <w:sz w:val="28"/>
          <w:szCs w:val="28"/>
        </w:rPr>
        <w:t>必须提供）</w:t>
      </w:r>
      <w:r>
        <w:rPr>
          <w:rFonts w:hint="eastAsia"/>
          <w:sz w:val="28"/>
          <w:szCs w:val="28"/>
        </w:rPr>
        <w:t>。</w:t>
      </w:r>
    </w:p>
    <w:p>
      <w:pPr>
        <w:rPr>
          <w:sz w:val="28"/>
          <w:szCs w:val="28"/>
        </w:rPr>
      </w:pPr>
    </w:p>
    <w:p>
      <w:pPr>
        <w:ind w:firstLine="562" w:firstLineChars="200"/>
        <w:rPr>
          <w:b/>
          <w:bCs/>
          <w:sz w:val="28"/>
          <w:szCs w:val="28"/>
        </w:rPr>
      </w:pPr>
      <w:r>
        <w:rPr>
          <w:b/>
          <w:bCs/>
          <w:sz w:val="28"/>
          <w:szCs w:val="28"/>
        </w:rPr>
        <w:t>报价</w:t>
      </w:r>
      <w:r>
        <w:rPr>
          <w:rFonts w:hint="eastAsia"/>
          <w:b/>
          <w:bCs/>
          <w:sz w:val="28"/>
          <w:szCs w:val="28"/>
        </w:rPr>
        <w:t>相关说明和要求：</w:t>
      </w:r>
    </w:p>
    <w:p>
      <w:pPr>
        <w:ind w:firstLine="560" w:firstLineChars="200"/>
        <w:rPr>
          <w:sz w:val="28"/>
          <w:szCs w:val="28"/>
        </w:rPr>
      </w:pPr>
      <w:r>
        <w:rPr>
          <w:sz w:val="28"/>
          <w:szCs w:val="28"/>
        </w:rPr>
        <w:t>报价应以人民币报价</w:t>
      </w:r>
      <w:r>
        <w:rPr>
          <w:rFonts w:hint="eastAsia"/>
          <w:sz w:val="28"/>
          <w:szCs w:val="28"/>
        </w:rPr>
        <w:t>。</w:t>
      </w:r>
      <w:r>
        <w:rPr>
          <w:sz w:val="28"/>
          <w:szCs w:val="28"/>
        </w:rPr>
        <w:t>对于本文件中未列明，而询价供应商认为必需的费用也需列入总报价。在合同</w:t>
      </w:r>
      <w:r>
        <w:rPr>
          <w:rFonts w:hint="eastAsia"/>
          <w:sz w:val="28"/>
          <w:szCs w:val="28"/>
        </w:rPr>
        <w:t>履行服务</w:t>
      </w:r>
      <w:r>
        <w:rPr>
          <w:sz w:val="28"/>
          <w:szCs w:val="28"/>
        </w:rPr>
        <w:t>实施时，采购人将不予支付成交供应商没有列入的项目费用，并认为此项目的费用已包括在总报价中。成交供应商负责本项目所需</w:t>
      </w:r>
      <w:r>
        <w:rPr>
          <w:rFonts w:hint="eastAsia"/>
          <w:sz w:val="28"/>
          <w:szCs w:val="28"/>
        </w:rPr>
        <w:t>标明</w:t>
      </w:r>
      <w:r>
        <w:rPr>
          <w:sz w:val="28"/>
          <w:szCs w:val="28"/>
        </w:rPr>
        <w:t>服务</w:t>
      </w:r>
      <w:r>
        <w:rPr>
          <w:rFonts w:hint="eastAsia"/>
          <w:sz w:val="28"/>
          <w:szCs w:val="28"/>
        </w:rPr>
        <w:t>的</w:t>
      </w:r>
      <w:r>
        <w:rPr>
          <w:sz w:val="28"/>
          <w:szCs w:val="28"/>
        </w:rPr>
        <w:t>全部工作。询价供应商应在报价表上标明单价和总价。大写金额和小写金额不一致的，以大写金额为准；总价金额与按单价汇总金额不一致的，以单价金额计算结果为准；单价金额小数点有明显错位的，应以总价为准，并修改单价；对不同文字文本响应文件的解释发生异议的，以中文文本为准。除上述原因以外，如果因询价供应商原因引起的报价失误，并在询价时被接受，其后果由询价供应商自负。询价供应商就采购需求中服务内容作完整唯一报价。</w:t>
      </w:r>
    </w:p>
    <w:p>
      <w:pPr>
        <w:rPr>
          <w:sz w:val="28"/>
          <w:szCs w:val="28"/>
        </w:rPr>
      </w:pPr>
    </w:p>
    <w:p>
      <w:pPr>
        <w:ind w:firstLine="562" w:firstLineChars="200"/>
        <w:rPr>
          <w:sz w:val="28"/>
          <w:szCs w:val="28"/>
        </w:rPr>
      </w:pPr>
      <w:r>
        <w:rPr>
          <w:b/>
          <w:bCs/>
          <w:sz w:val="28"/>
          <w:szCs w:val="28"/>
        </w:rPr>
        <w:t>响应文件</w:t>
      </w:r>
      <w:r>
        <w:rPr>
          <w:rFonts w:hint="eastAsia"/>
          <w:b/>
          <w:bCs/>
          <w:sz w:val="28"/>
          <w:szCs w:val="28"/>
        </w:rPr>
        <w:t>其他</w:t>
      </w:r>
      <w:r>
        <w:rPr>
          <w:b/>
          <w:bCs/>
          <w:sz w:val="28"/>
          <w:szCs w:val="28"/>
        </w:rPr>
        <w:t>格式</w:t>
      </w:r>
      <w:r>
        <w:rPr>
          <w:rFonts w:hint="eastAsia"/>
          <w:b/>
          <w:bCs/>
          <w:sz w:val="28"/>
          <w:szCs w:val="28"/>
        </w:rPr>
        <w:t>要求：</w:t>
      </w:r>
      <w:r>
        <w:rPr>
          <w:sz w:val="28"/>
          <w:szCs w:val="28"/>
        </w:rPr>
        <w:t>供应商应按询价</w:t>
      </w:r>
      <w:r>
        <w:rPr>
          <w:rFonts w:hint="eastAsia"/>
          <w:sz w:val="28"/>
          <w:szCs w:val="28"/>
        </w:rPr>
        <w:t>文件</w:t>
      </w:r>
      <w:r>
        <w:rPr>
          <w:sz w:val="28"/>
          <w:szCs w:val="28"/>
        </w:rPr>
        <w:t>提供的报价函、商务服务（技术）响应等格式详细完整地填写各项内容。响应文件应由法定代表人或委托代理人在凡规定签名、盖章处逐一签名或加盖单位的公章，否则其报价无效。响应文件</w:t>
      </w:r>
      <w:r>
        <w:rPr>
          <w:rFonts w:hint="eastAsia"/>
          <w:sz w:val="28"/>
          <w:szCs w:val="28"/>
        </w:rPr>
        <w:t>应装订成一册并提供三份</w:t>
      </w:r>
      <w:r>
        <w:rPr>
          <w:sz w:val="28"/>
          <w:szCs w:val="28"/>
        </w:rPr>
        <w:t>：正本一份、副本二份。并在文件左上角注明“正本”、“副本”字样，一旦正本和副本不符，以正本为准。响应文件的密封与标记</w:t>
      </w:r>
      <w:r>
        <w:rPr>
          <w:rFonts w:hint="eastAsia"/>
          <w:sz w:val="28"/>
          <w:szCs w:val="28"/>
        </w:rPr>
        <w:t>：</w:t>
      </w:r>
      <w:r>
        <w:rPr>
          <w:sz w:val="28"/>
          <w:szCs w:val="28"/>
        </w:rPr>
        <w:t>供应商应将响应文件装入响应文件袋内封装并加以密封（要求响应文件袋无明显缝隙露出袋内文件）。文件袋上都应写明：项目名称</w:t>
      </w:r>
      <w:r>
        <w:rPr>
          <w:rFonts w:hint="eastAsia"/>
          <w:sz w:val="28"/>
          <w:szCs w:val="28"/>
        </w:rPr>
        <w:t>、</w:t>
      </w:r>
      <w:r>
        <w:rPr>
          <w:sz w:val="28"/>
          <w:szCs w:val="28"/>
        </w:rPr>
        <w:t>项目编号</w:t>
      </w:r>
      <w:r>
        <w:rPr>
          <w:rFonts w:hint="eastAsia"/>
          <w:sz w:val="28"/>
          <w:szCs w:val="28"/>
        </w:rPr>
        <w:t>、</w:t>
      </w:r>
      <w:r>
        <w:rPr>
          <w:sz w:val="28"/>
          <w:szCs w:val="28"/>
        </w:rPr>
        <w:t>供应商名称</w:t>
      </w:r>
      <w:r>
        <w:rPr>
          <w:rFonts w:hint="eastAsia"/>
          <w:sz w:val="28"/>
          <w:szCs w:val="28"/>
        </w:rPr>
        <w:t>。</w:t>
      </w:r>
      <w:r>
        <w:rPr>
          <w:sz w:val="28"/>
          <w:szCs w:val="28"/>
        </w:rPr>
        <w:t>注明“截标时才能启封”</w:t>
      </w:r>
      <w:r>
        <w:rPr>
          <w:rFonts w:hint="eastAsia"/>
          <w:sz w:val="28"/>
          <w:szCs w:val="28"/>
        </w:rPr>
        <w:t>。</w:t>
      </w:r>
    </w:p>
    <w:p>
      <w:pPr>
        <w:rPr>
          <w:sz w:val="28"/>
          <w:szCs w:val="28"/>
        </w:rPr>
      </w:pPr>
    </w:p>
    <w:p>
      <w:pPr>
        <w:ind w:firstLine="562" w:firstLineChars="200"/>
        <w:rPr>
          <w:b/>
          <w:bCs/>
          <w:sz w:val="28"/>
          <w:szCs w:val="28"/>
        </w:rPr>
      </w:pPr>
      <w:r>
        <w:rPr>
          <w:rFonts w:hint="eastAsia"/>
          <w:b/>
          <w:bCs/>
          <w:sz w:val="28"/>
          <w:szCs w:val="28"/>
        </w:rPr>
        <w:t>四、评定办法</w:t>
      </w:r>
    </w:p>
    <w:p>
      <w:pPr>
        <w:ind w:firstLine="560" w:firstLineChars="200"/>
        <w:rPr>
          <w:sz w:val="28"/>
          <w:szCs w:val="28"/>
        </w:rPr>
      </w:pPr>
      <w:r>
        <w:rPr>
          <w:rFonts w:hint="eastAsia"/>
          <w:sz w:val="28"/>
          <w:szCs w:val="28"/>
        </w:rPr>
        <w:t>学校根据项目的特点组建询价评标小组对投标响应文件进行开标评审。</w:t>
      </w:r>
    </w:p>
    <w:p>
      <w:pPr>
        <w:ind w:firstLine="560" w:firstLineChars="200"/>
        <w:rPr>
          <w:sz w:val="28"/>
          <w:szCs w:val="28"/>
        </w:rPr>
      </w:pPr>
      <w:r>
        <w:rPr>
          <w:rFonts w:hint="eastAsia"/>
          <w:sz w:val="28"/>
          <w:szCs w:val="28"/>
        </w:rPr>
        <w:t>询价评标小组根据投标人提交的投标响应文件对投标人资格、报价以及服务承诺方案等方面的内容进行综合评审，按照报价由低到高的顺序和服务承诺等综合内容选出相应数量的成交候选人，编写评审报告，报学校审批后确定中标服务单位。</w:t>
      </w:r>
    </w:p>
    <w:p>
      <w:pPr>
        <w:rPr>
          <w:b/>
          <w:bCs/>
          <w:sz w:val="32"/>
          <w:szCs w:val="32"/>
        </w:rPr>
      </w:pPr>
      <w:r>
        <w:rPr>
          <w:rFonts w:hint="eastAsia"/>
          <w:sz w:val="32"/>
          <w:szCs w:val="32"/>
        </w:rPr>
        <w:br w:type="page"/>
      </w:r>
      <w:r>
        <w:rPr>
          <w:rFonts w:hint="eastAsia"/>
          <w:b/>
          <w:bCs/>
          <w:sz w:val="32"/>
          <w:szCs w:val="32"/>
        </w:rPr>
        <w:t>五、部分响应文件格式</w:t>
      </w:r>
    </w:p>
    <w:p>
      <w:pPr>
        <w:ind w:firstLine="640" w:firstLineChars="200"/>
        <w:rPr>
          <w:sz w:val="32"/>
          <w:szCs w:val="32"/>
        </w:rPr>
      </w:pPr>
      <w:r>
        <w:rPr>
          <w:rFonts w:hint="eastAsia"/>
          <w:sz w:val="32"/>
          <w:szCs w:val="32"/>
        </w:rPr>
        <w:t>（1）报价函一（车辆租赁）</w:t>
      </w:r>
    </w:p>
    <w:p>
      <w:pPr>
        <w:pStyle w:val="2"/>
        <w:jc w:val="center"/>
        <w:rPr>
          <w:rFonts w:ascii="黑体" w:eastAsia="黑体"/>
          <w:b/>
          <w:sz w:val="32"/>
        </w:rPr>
      </w:pPr>
    </w:p>
    <w:p>
      <w:pPr>
        <w:pStyle w:val="2"/>
        <w:jc w:val="center"/>
        <w:rPr>
          <w:rFonts w:ascii="黑体" w:eastAsia="黑体"/>
          <w:b/>
          <w:sz w:val="32"/>
        </w:rPr>
      </w:pPr>
      <w:r>
        <w:rPr>
          <w:rFonts w:hint="eastAsia" w:ascii="黑体" w:eastAsia="黑体"/>
          <w:b/>
          <w:sz w:val="32"/>
        </w:rPr>
        <w:t>1.报 价 函 一（车辆租赁）（格 式）</w:t>
      </w:r>
    </w:p>
    <w:p>
      <w:pPr>
        <w:pStyle w:val="2"/>
      </w:pPr>
    </w:p>
    <w:p>
      <w:pPr>
        <w:pStyle w:val="2"/>
        <w:spacing w:line="480" w:lineRule="exact"/>
        <w:ind w:firstLine="420"/>
        <w:rPr>
          <w:u w:val="single"/>
        </w:rPr>
      </w:pPr>
      <w:r>
        <w:rPr>
          <w:rFonts w:hint="eastAsia"/>
        </w:rPr>
        <w:t>致：</w:t>
      </w:r>
      <w:r>
        <w:rPr>
          <w:rFonts w:hint="eastAsia"/>
          <w:u w:val="single"/>
        </w:rPr>
        <w:t>南宁师范大学</w:t>
      </w:r>
    </w:p>
    <w:p>
      <w:pPr>
        <w:pStyle w:val="2"/>
        <w:spacing w:line="480" w:lineRule="exact"/>
        <w:ind w:firstLine="420"/>
      </w:pPr>
      <w:r>
        <w:rPr>
          <w:rFonts w:hint="eastAsia"/>
        </w:rPr>
        <w:t>根据贵方</w:t>
      </w:r>
      <w:r>
        <w:rPr>
          <w:rFonts w:hint="eastAsia"/>
          <w:u w:val="single"/>
        </w:rPr>
        <w:t xml:space="preserve"> 南宁师范大学市内用车定点租赁和住宿酒店定点服务单位遴选询价 </w:t>
      </w:r>
      <w:r>
        <w:rPr>
          <w:rFonts w:hint="eastAsia"/>
        </w:rPr>
        <w:t>项目询价文件，项目编号</w:t>
      </w:r>
      <w:r>
        <w:rPr>
          <w:rFonts w:hint="eastAsia"/>
          <w:u w:val="single"/>
        </w:rPr>
        <w:t xml:space="preserve">NNNU2019-XJ01  </w:t>
      </w:r>
      <w:r>
        <w:rPr>
          <w:rFonts w:hint="eastAsia"/>
        </w:rPr>
        <w:t>，正式授权下述签字人（姓名和职务）并代表本单位 （报价</w:t>
      </w:r>
      <w:r>
        <w:rPr>
          <w:rFonts w:hint="eastAsia" w:hAnsi="宋体"/>
          <w:u w:val="single"/>
        </w:rPr>
        <w:t>供应商名称、地址</w:t>
      </w:r>
      <w:r>
        <w:rPr>
          <w:rFonts w:hint="eastAsia"/>
        </w:rPr>
        <w:t>），提交下述文件正本一份，副本二份。</w:t>
      </w:r>
    </w:p>
    <w:p>
      <w:pPr>
        <w:pStyle w:val="2"/>
        <w:spacing w:line="480" w:lineRule="exact"/>
        <w:ind w:firstLine="420"/>
        <w:rPr>
          <w:rFonts w:hAnsi="宋体"/>
        </w:rPr>
      </w:pPr>
      <w:r>
        <w:rPr>
          <w:rFonts w:hint="eastAsia" w:hAnsi="宋体"/>
        </w:rPr>
        <w:t>一、报价函；</w:t>
      </w:r>
    </w:p>
    <w:p>
      <w:pPr>
        <w:pStyle w:val="2"/>
        <w:spacing w:line="480" w:lineRule="exact"/>
        <w:ind w:firstLine="420"/>
      </w:pPr>
      <w:r>
        <w:rPr>
          <w:rFonts w:hint="eastAsia" w:hAnsi="宋体"/>
        </w:rPr>
        <w:t>二、</w:t>
      </w:r>
      <w:r>
        <w:rPr>
          <w:rFonts w:hint="eastAsia"/>
        </w:rPr>
        <w:t>报价明细表；</w:t>
      </w:r>
    </w:p>
    <w:p>
      <w:pPr>
        <w:pStyle w:val="2"/>
        <w:spacing w:line="480" w:lineRule="exact"/>
        <w:ind w:firstLine="420"/>
      </w:pPr>
      <w:r>
        <w:rPr>
          <w:rFonts w:hint="eastAsia"/>
        </w:rPr>
        <w:t>三、服务承诺书；</w:t>
      </w:r>
    </w:p>
    <w:p>
      <w:pPr>
        <w:pStyle w:val="2"/>
        <w:spacing w:line="480" w:lineRule="exact"/>
        <w:ind w:firstLine="420"/>
      </w:pPr>
      <w:r>
        <w:rPr>
          <w:rFonts w:hint="eastAsia"/>
        </w:rPr>
        <w:t>四、按询价文件要求提交的</w:t>
      </w:r>
      <w:r>
        <w:rPr>
          <w:rFonts w:hint="eastAsia" w:hAnsi="宋体"/>
        </w:rPr>
        <w:t>其它</w:t>
      </w:r>
      <w:r>
        <w:rPr>
          <w:rFonts w:hint="eastAsia"/>
        </w:rPr>
        <w:t>文件。</w:t>
      </w:r>
    </w:p>
    <w:p>
      <w:pPr>
        <w:pStyle w:val="2"/>
        <w:spacing w:line="480" w:lineRule="exact"/>
        <w:ind w:firstLine="420"/>
      </w:pPr>
      <w:r>
        <w:rPr>
          <w:rFonts w:hint="eastAsia"/>
        </w:rPr>
        <w:t>据此函，签字人兹宣布同意如下：</w:t>
      </w:r>
    </w:p>
    <w:p>
      <w:pPr>
        <w:pStyle w:val="2"/>
        <w:spacing w:line="480" w:lineRule="exact"/>
        <w:ind w:firstLine="420"/>
      </w:pPr>
      <w:r>
        <w:rPr>
          <w:rFonts w:hint="eastAsia"/>
        </w:rPr>
        <w:t>1、按询价通知书采购需求和说明，对本项目报价如《报价明细表》。</w:t>
      </w:r>
    </w:p>
    <w:p>
      <w:pPr>
        <w:pStyle w:val="2"/>
        <w:spacing w:line="480" w:lineRule="exact"/>
        <w:ind w:firstLine="420"/>
      </w:pPr>
      <w:r>
        <w:rPr>
          <w:rFonts w:hint="eastAsia"/>
        </w:rPr>
        <w:t>2、我方同意在规定的开标日期起遵循本响应文件，并在60日内均具有约束力，并有可能成交。</w:t>
      </w:r>
    </w:p>
    <w:p>
      <w:pPr>
        <w:pStyle w:val="2"/>
        <w:spacing w:line="480" w:lineRule="exact"/>
        <w:ind w:firstLine="420"/>
      </w:pPr>
      <w:r>
        <w:rPr>
          <w:rFonts w:hint="eastAsia"/>
        </w:rPr>
        <w:t>3、我方承诺已经具备《中华人民共和国政府采购法》中规定的参加政府采购活动的供应商应当具备的条件：</w:t>
      </w:r>
    </w:p>
    <w:p>
      <w:pPr>
        <w:pStyle w:val="2"/>
        <w:spacing w:line="480" w:lineRule="exact"/>
        <w:ind w:firstLine="420"/>
      </w:pPr>
      <w:r>
        <w:rPr>
          <w:rFonts w:hint="eastAsia"/>
        </w:rPr>
        <w:t>4、我方根据询价书的规定，承担完成合同的责任和义务。</w:t>
      </w:r>
    </w:p>
    <w:p>
      <w:pPr>
        <w:pStyle w:val="2"/>
        <w:spacing w:line="480" w:lineRule="exact"/>
        <w:ind w:firstLine="420"/>
      </w:pPr>
      <w:r>
        <w:rPr>
          <w:rFonts w:hint="eastAsia"/>
        </w:rPr>
        <w:t>5、我方已详细审核询价书，我方知道对提出含糊不清或误解问题须承担由此造成的责任。</w:t>
      </w:r>
    </w:p>
    <w:p>
      <w:pPr>
        <w:pStyle w:val="2"/>
        <w:spacing w:line="480" w:lineRule="exact"/>
        <w:ind w:firstLine="420"/>
      </w:pPr>
      <w:r>
        <w:rPr>
          <w:rFonts w:hint="eastAsia"/>
        </w:rPr>
        <w:t>6、同意向贵方提供贵方可能要求的与本项目有关的任何数据或资料。</w:t>
      </w:r>
    </w:p>
    <w:p>
      <w:pPr>
        <w:pStyle w:val="2"/>
        <w:spacing w:line="480" w:lineRule="exact"/>
        <w:ind w:firstLine="420"/>
      </w:pPr>
      <w:r>
        <w:rPr>
          <w:rFonts w:hint="eastAsia"/>
        </w:rPr>
        <w:t>7、若贵方需要，我方愿意提供我方作出的一切承诺的证明材料。</w:t>
      </w:r>
    </w:p>
    <w:p>
      <w:pPr>
        <w:pStyle w:val="2"/>
        <w:spacing w:line="480" w:lineRule="exact"/>
        <w:ind w:left="420"/>
      </w:pPr>
      <w:r>
        <w:rPr>
          <w:rFonts w:hint="eastAsia"/>
        </w:rPr>
        <w:t>8、我方将严格遵守《中华人民共和国政府采购法》第七十七条规定。</w:t>
      </w:r>
    </w:p>
    <w:p>
      <w:pPr>
        <w:pStyle w:val="2"/>
        <w:spacing w:line="480" w:lineRule="exact"/>
        <w:ind w:left="420"/>
        <w:rPr>
          <w:rFonts w:hAnsi="宋体"/>
        </w:rPr>
      </w:pPr>
      <w:r>
        <w:rPr>
          <w:rFonts w:hint="eastAsia" w:hAnsi="宋体"/>
        </w:rPr>
        <w:t>9、我方承诺本次报价所提供的所有资料真实有效。</w:t>
      </w:r>
    </w:p>
    <w:p>
      <w:pPr>
        <w:pStyle w:val="2"/>
        <w:spacing w:line="480" w:lineRule="exact"/>
        <w:ind w:firstLine="420"/>
      </w:pPr>
      <w:r>
        <w:rPr>
          <w:rFonts w:hint="eastAsia"/>
        </w:rPr>
        <w:t>与本报价有关的正式通讯地址为：</w:t>
      </w:r>
    </w:p>
    <w:p>
      <w:pPr>
        <w:pStyle w:val="2"/>
        <w:spacing w:line="480" w:lineRule="exact"/>
        <w:ind w:firstLine="420"/>
      </w:pPr>
      <w:r>
        <w:rPr>
          <w:rFonts w:hint="eastAsia"/>
        </w:rPr>
        <w:t>地址： 邮政编码：</w:t>
      </w:r>
    </w:p>
    <w:p>
      <w:pPr>
        <w:pStyle w:val="2"/>
        <w:spacing w:line="480" w:lineRule="exact"/>
        <w:ind w:firstLine="420"/>
        <w:rPr>
          <w:u w:val="single"/>
        </w:rPr>
      </w:pPr>
      <w:r>
        <w:rPr>
          <w:rFonts w:hint="eastAsia"/>
        </w:rPr>
        <w:t>电话、电报、传真或电传：</w:t>
      </w:r>
    </w:p>
    <w:p>
      <w:pPr>
        <w:pStyle w:val="2"/>
        <w:spacing w:line="480" w:lineRule="exact"/>
        <w:ind w:firstLine="420"/>
      </w:pPr>
      <w:r>
        <w:rPr>
          <w:rFonts w:hint="eastAsia"/>
        </w:rPr>
        <w:t>开户名称：</w:t>
      </w:r>
    </w:p>
    <w:p>
      <w:pPr>
        <w:pStyle w:val="2"/>
        <w:spacing w:line="480" w:lineRule="exact"/>
        <w:ind w:firstLine="420"/>
      </w:pPr>
      <w:r>
        <w:rPr>
          <w:rFonts w:hint="eastAsia"/>
        </w:rPr>
        <w:t>开户银行：</w:t>
      </w:r>
    </w:p>
    <w:p>
      <w:pPr>
        <w:pStyle w:val="2"/>
        <w:spacing w:line="480" w:lineRule="exact"/>
        <w:ind w:firstLine="420"/>
      </w:pPr>
      <w:r>
        <w:rPr>
          <w:rFonts w:hint="eastAsia"/>
        </w:rPr>
        <w:t>帐号：</w:t>
      </w:r>
    </w:p>
    <w:p>
      <w:pPr>
        <w:pStyle w:val="2"/>
        <w:spacing w:line="480" w:lineRule="exact"/>
        <w:ind w:firstLine="420"/>
      </w:pPr>
      <w:r>
        <w:rPr>
          <w:rFonts w:hint="eastAsia"/>
        </w:rPr>
        <w:t>法定代表人或委托代理人（被授权人）签名：</w:t>
      </w:r>
    </w:p>
    <w:p>
      <w:pPr>
        <w:pStyle w:val="2"/>
        <w:spacing w:line="480" w:lineRule="exact"/>
        <w:ind w:firstLine="420"/>
      </w:pPr>
      <w:r>
        <w:rPr>
          <w:rFonts w:hint="eastAsia"/>
        </w:rPr>
        <w:t>供应商盖公章：</w:t>
      </w:r>
    </w:p>
    <w:p>
      <w:pPr>
        <w:pStyle w:val="2"/>
        <w:spacing w:line="480" w:lineRule="exact"/>
        <w:ind w:firstLine="420" w:firstLineChars="200"/>
        <w:rPr>
          <w:u w:val="single"/>
        </w:rPr>
      </w:pPr>
      <w:r>
        <w:rPr>
          <w:rFonts w:hint="eastAsia"/>
        </w:rPr>
        <w:t>报价日期：</w:t>
      </w:r>
    </w:p>
    <w:p>
      <w:pPr>
        <w:pStyle w:val="2"/>
        <w:spacing w:line="480" w:lineRule="exact"/>
        <w:ind w:firstLine="420" w:firstLineChars="200"/>
        <w:rPr>
          <w:u w:val="single"/>
        </w:rPr>
      </w:pPr>
    </w:p>
    <w:p>
      <w:pPr>
        <w:rPr>
          <w:sz w:val="32"/>
          <w:szCs w:val="32"/>
        </w:rPr>
      </w:pPr>
      <w:r>
        <w:rPr>
          <w:rFonts w:hint="eastAsia"/>
          <w:b/>
          <w:bCs/>
          <w:szCs w:val="21"/>
        </w:rPr>
        <w:t>注：未按照本报价函要求内容填报的报价函将被视为非实质性响应报价，从而导致该报价被拒绝。</w:t>
      </w:r>
    </w:p>
    <w:p>
      <w:pPr>
        <w:rPr>
          <w:sz w:val="32"/>
          <w:szCs w:val="32"/>
        </w:rPr>
      </w:pPr>
    </w:p>
    <w:p>
      <w:pPr>
        <w:rPr>
          <w:sz w:val="32"/>
          <w:szCs w:val="32"/>
        </w:rPr>
      </w:pPr>
      <w:r>
        <w:rPr>
          <w:rFonts w:hint="eastAsia"/>
          <w:sz w:val="32"/>
          <w:szCs w:val="32"/>
        </w:rPr>
        <w:t>2.报价明细表（车辆租赁）</w:t>
      </w:r>
    </w:p>
    <w:p>
      <w:pPr>
        <w:pStyle w:val="2"/>
        <w:spacing w:line="400" w:lineRule="exact"/>
        <w:ind w:firstLine="529" w:firstLineChars="252"/>
        <w:rPr>
          <w:rFonts w:hAnsi="宋体"/>
          <w:szCs w:val="21"/>
          <w:u w:val="single"/>
        </w:rPr>
      </w:pPr>
      <w:r>
        <w:rPr>
          <w:rFonts w:hint="eastAsia" w:hAnsi="宋体"/>
          <w:szCs w:val="21"/>
        </w:rPr>
        <w:t>项目名称:</w:t>
      </w:r>
      <w:r>
        <w:rPr>
          <w:rFonts w:hint="eastAsia"/>
          <w:u w:val="single"/>
        </w:rPr>
        <w:t>南宁师范大学市内用车定点租赁和住宿酒店定点服务单位遴选询价</w:t>
      </w:r>
    </w:p>
    <w:p>
      <w:pPr>
        <w:pStyle w:val="2"/>
        <w:spacing w:line="400" w:lineRule="exact"/>
        <w:ind w:firstLine="531" w:firstLineChars="252"/>
        <w:rPr>
          <w:rFonts w:hAnsi="宋体"/>
          <w:b/>
          <w:bCs/>
          <w:szCs w:val="21"/>
          <w:u w:val="single"/>
        </w:rPr>
      </w:pPr>
      <w:r>
        <w:rPr>
          <w:rFonts w:hint="eastAsia" w:hAnsi="宋体"/>
          <w:b/>
          <w:bCs/>
          <w:szCs w:val="21"/>
        </w:rPr>
        <w:t>（1）轿车报价</w:t>
      </w:r>
    </w:p>
    <w:tbl>
      <w:tblPr>
        <w:tblStyle w:val="6"/>
        <w:tblW w:w="9549" w:type="dxa"/>
        <w:jc w:val="center"/>
        <w:tblInd w:w="-246"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4"/>
        <w:gridCol w:w="1446"/>
        <w:gridCol w:w="1191"/>
        <w:gridCol w:w="1074"/>
        <w:gridCol w:w="975"/>
        <w:gridCol w:w="1185"/>
        <w:gridCol w:w="1065"/>
        <w:gridCol w:w="1224"/>
        <w:gridCol w:w="91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804" w:hRule="atLeast"/>
          <w:jc w:val="center"/>
        </w:trPr>
        <w:tc>
          <w:tcPr>
            <w:tcW w:w="474" w:type="dxa"/>
            <w:vMerge w:val="restart"/>
            <w:vAlign w:val="center"/>
          </w:tcPr>
          <w:p>
            <w:pPr>
              <w:jc w:val="center"/>
              <w:rPr>
                <w:b/>
                <w:bCs/>
              </w:rPr>
            </w:pPr>
            <w:bookmarkStart w:id="0" w:name="_Toc173066401"/>
            <w:bookmarkStart w:id="1" w:name="_Toc173211900"/>
            <w:bookmarkStart w:id="2" w:name="_Toc254970588"/>
            <w:bookmarkStart w:id="3" w:name="_Toc254970729"/>
            <w:r>
              <w:rPr>
                <w:rFonts w:hint="eastAsia"/>
                <w:b/>
                <w:bCs/>
              </w:rPr>
              <w:t>序号</w:t>
            </w:r>
            <w:bookmarkEnd w:id="0"/>
            <w:bookmarkEnd w:id="1"/>
            <w:bookmarkEnd w:id="2"/>
            <w:bookmarkEnd w:id="3"/>
          </w:p>
        </w:tc>
        <w:tc>
          <w:tcPr>
            <w:tcW w:w="1446" w:type="dxa"/>
            <w:vMerge w:val="restart"/>
            <w:vAlign w:val="center"/>
          </w:tcPr>
          <w:p>
            <w:pPr>
              <w:jc w:val="center"/>
              <w:rPr>
                <w:b/>
                <w:bCs/>
              </w:rPr>
            </w:pPr>
            <w:r>
              <w:rPr>
                <w:rFonts w:hint="eastAsia"/>
                <w:b/>
                <w:bCs/>
              </w:rPr>
              <w:t>车型及要求</w:t>
            </w:r>
          </w:p>
        </w:tc>
        <w:tc>
          <w:tcPr>
            <w:tcW w:w="1191" w:type="dxa"/>
            <w:tcBorders>
              <w:bottom w:val="single" w:color="auto" w:sz="4" w:space="0"/>
            </w:tcBorders>
            <w:vAlign w:val="center"/>
          </w:tcPr>
          <w:p>
            <w:pPr>
              <w:jc w:val="center"/>
              <w:rPr>
                <w:b/>
                <w:bCs/>
              </w:rPr>
            </w:pPr>
            <w:r>
              <w:rPr>
                <w:rFonts w:hint="eastAsia"/>
                <w:b/>
                <w:bCs/>
              </w:rPr>
              <w:t>市内用车</w:t>
            </w:r>
          </w:p>
        </w:tc>
        <w:tc>
          <w:tcPr>
            <w:tcW w:w="1074" w:type="dxa"/>
            <w:vMerge w:val="restart"/>
            <w:vAlign w:val="center"/>
          </w:tcPr>
          <w:p>
            <w:pPr>
              <w:jc w:val="center"/>
              <w:rPr>
                <w:b/>
                <w:bCs/>
              </w:rPr>
            </w:pPr>
            <w:r>
              <w:rPr>
                <w:rFonts w:hint="eastAsia"/>
                <w:b/>
                <w:bCs/>
              </w:rPr>
              <w:t>超时计费</w:t>
            </w:r>
          </w:p>
          <w:p>
            <w:pPr>
              <w:jc w:val="center"/>
              <w:rPr>
                <w:b/>
                <w:bCs/>
              </w:rPr>
            </w:pPr>
            <w:r>
              <w:rPr>
                <w:rFonts w:hint="eastAsia"/>
                <w:b/>
                <w:bCs/>
              </w:rPr>
              <w:t>（元/小时）</w:t>
            </w:r>
          </w:p>
        </w:tc>
        <w:tc>
          <w:tcPr>
            <w:tcW w:w="975" w:type="dxa"/>
            <w:vMerge w:val="restart"/>
            <w:vAlign w:val="center"/>
          </w:tcPr>
          <w:p>
            <w:pPr>
              <w:jc w:val="center"/>
              <w:rPr>
                <w:b/>
                <w:bCs/>
              </w:rPr>
            </w:pPr>
            <w:r>
              <w:rPr>
                <w:rFonts w:hint="eastAsia"/>
                <w:b/>
                <w:bCs/>
              </w:rPr>
              <w:t>超公里计费（元/公里）</w:t>
            </w:r>
          </w:p>
        </w:tc>
        <w:tc>
          <w:tcPr>
            <w:tcW w:w="1185" w:type="dxa"/>
            <w:vMerge w:val="restart"/>
            <w:tcBorders>
              <w:right w:val="single" w:color="auto" w:sz="4" w:space="0"/>
            </w:tcBorders>
            <w:vAlign w:val="center"/>
          </w:tcPr>
          <w:p>
            <w:pPr>
              <w:jc w:val="center"/>
              <w:rPr>
                <w:b/>
                <w:bCs/>
              </w:rPr>
            </w:pPr>
            <w:r>
              <w:rPr>
                <w:rFonts w:hint="eastAsia"/>
                <w:b/>
                <w:bCs/>
              </w:rPr>
              <w:t>机场接送（趟）</w:t>
            </w:r>
          </w:p>
        </w:tc>
        <w:tc>
          <w:tcPr>
            <w:tcW w:w="1065" w:type="dxa"/>
            <w:vMerge w:val="restart"/>
            <w:tcBorders>
              <w:left w:val="single" w:color="auto" w:sz="4" w:space="0"/>
              <w:right w:val="single" w:color="auto" w:sz="4" w:space="0"/>
            </w:tcBorders>
            <w:vAlign w:val="center"/>
          </w:tcPr>
          <w:p>
            <w:pPr>
              <w:jc w:val="center"/>
              <w:rPr>
                <w:b/>
                <w:bCs/>
              </w:rPr>
            </w:pPr>
            <w:r>
              <w:rPr>
                <w:rFonts w:hint="eastAsia"/>
                <w:b/>
                <w:bCs/>
              </w:rPr>
              <w:t>早班/晚班机（趟)</w:t>
            </w:r>
          </w:p>
        </w:tc>
        <w:tc>
          <w:tcPr>
            <w:tcW w:w="1224" w:type="dxa"/>
            <w:vMerge w:val="restart"/>
            <w:tcBorders>
              <w:left w:val="single" w:color="auto" w:sz="4" w:space="0"/>
              <w:right w:val="single" w:color="auto" w:sz="4" w:space="0"/>
            </w:tcBorders>
            <w:vAlign w:val="center"/>
          </w:tcPr>
          <w:p>
            <w:pPr>
              <w:jc w:val="center"/>
              <w:rPr>
                <w:b/>
                <w:bCs/>
              </w:rPr>
            </w:pPr>
            <w:r>
              <w:rPr>
                <w:rFonts w:hint="eastAsia"/>
                <w:b/>
                <w:bCs/>
              </w:rPr>
              <w:t>区内日行程200公里以上按公里数计费（元/公里）</w:t>
            </w:r>
          </w:p>
        </w:tc>
        <w:tc>
          <w:tcPr>
            <w:tcW w:w="915" w:type="dxa"/>
            <w:vMerge w:val="restart"/>
            <w:tcBorders>
              <w:left w:val="single" w:color="auto" w:sz="4" w:space="0"/>
            </w:tcBorders>
            <w:vAlign w:val="center"/>
          </w:tcPr>
          <w:p>
            <w:pPr>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12" w:hRule="atLeast"/>
          <w:jc w:val="center"/>
        </w:trPr>
        <w:tc>
          <w:tcPr>
            <w:tcW w:w="474" w:type="dxa"/>
            <w:vMerge w:val="continue"/>
            <w:vAlign w:val="center"/>
          </w:tcPr>
          <w:p>
            <w:pPr>
              <w:jc w:val="center"/>
            </w:pPr>
          </w:p>
        </w:tc>
        <w:tc>
          <w:tcPr>
            <w:tcW w:w="1446" w:type="dxa"/>
            <w:vMerge w:val="continue"/>
            <w:vAlign w:val="center"/>
          </w:tcPr>
          <w:p/>
        </w:tc>
        <w:tc>
          <w:tcPr>
            <w:tcW w:w="1191" w:type="dxa"/>
            <w:vMerge w:val="restart"/>
            <w:tcBorders>
              <w:top w:val="single" w:color="auto" w:sz="4" w:space="0"/>
            </w:tcBorders>
            <w:vAlign w:val="center"/>
          </w:tcPr>
          <w:p>
            <w:r>
              <w:rPr>
                <w:rFonts w:hint="eastAsia"/>
                <w:b/>
                <w:bCs/>
              </w:rPr>
              <w:t>（含80公里油/工作时间10小时</w:t>
            </w:r>
          </w:p>
        </w:tc>
        <w:tc>
          <w:tcPr>
            <w:tcW w:w="1074" w:type="dxa"/>
            <w:vMerge w:val="continue"/>
            <w:vAlign w:val="center"/>
          </w:tcPr>
          <w:p/>
        </w:tc>
        <w:tc>
          <w:tcPr>
            <w:tcW w:w="975" w:type="dxa"/>
            <w:vMerge w:val="continue"/>
            <w:vAlign w:val="center"/>
          </w:tcPr>
          <w:p/>
        </w:tc>
        <w:tc>
          <w:tcPr>
            <w:tcW w:w="1185" w:type="dxa"/>
            <w:vMerge w:val="continue"/>
            <w:tcBorders>
              <w:bottom w:val="single" w:color="auto" w:sz="4" w:space="0"/>
              <w:right w:val="single" w:color="auto" w:sz="4" w:space="0"/>
            </w:tcBorders>
            <w:vAlign w:val="center"/>
          </w:tcPr>
          <w:p/>
        </w:tc>
        <w:tc>
          <w:tcPr>
            <w:tcW w:w="1065" w:type="dxa"/>
            <w:vMerge w:val="continue"/>
            <w:tcBorders>
              <w:left w:val="single" w:color="auto" w:sz="4" w:space="0"/>
              <w:right w:val="single" w:color="auto" w:sz="4" w:space="0"/>
            </w:tcBorders>
            <w:vAlign w:val="center"/>
          </w:tcPr>
          <w:p/>
        </w:tc>
        <w:tc>
          <w:tcPr>
            <w:tcW w:w="1224" w:type="dxa"/>
            <w:vMerge w:val="continue"/>
            <w:tcBorders>
              <w:left w:val="single" w:color="auto" w:sz="4" w:space="0"/>
              <w:right w:val="single" w:color="auto" w:sz="4" w:space="0"/>
            </w:tcBorders>
            <w:vAlign w:val="center"/>
          </w:tcPr>
          <w:p/>
        </w:tc>
        <w:tc>
          <w:tcPr>
            <w:tcW w:w="915" w:type="dxa"/>
            <w:vMerge w:val="continue"/>
            <w:tcBorders>
              <w:lef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913" w:hRule="atLeast"/>
          <w:jc w:val="center"/>
        </w:trPr>
        <w:tc>
          <w:tcPr>
            <w:tcW w:w="474" w:type="dxa"/>
            <w:vMerge w:val="continue"/>
            <w:vAlign w:val="center"/>
          </w:tcPr>
          <w:p>
            <w:pPr>
              <w:jc w:val="center"/>
            </w:pPr>
          </w:p>
        </w:tc>
        <w:tc>
          <w:tcPr>
            <w:tcW w:w="1446" w:type="dxa"/>
            <w:vMerge w:val="continue"/>
            <w:vAlign w:val="center"/>
          </w:tcPr>
          <w:p/>
        </w:tc>
        <w:tc>
          <w:tcPr>
            <w:tcW w:w="1191" w:type="dxa"/>
            <w:vMerge w:val="continue"/>
            <w:vAlign w:val="center"/>
          </w:tcPr>
          <w:p/>
        </w:tc>
        <w:tc>
          <w:tcPr>
            <w:tcW w:w="1074" w:type="dxa"/>
            <w:vMerge w:val="continue"/>
            <w:vAlign w:val="center"/>
          </w:tcPr>
          <w:p/>
        </w:tc>
        <w:tc>
          <w:tcPr>
            <w:tcW w:w="975" w:type="dxa"/>
            <w:vMerge w:val="continue"/>
            <w:vAlign w:val="center"/>
          </w:tcPr>
          <w:p/>
        </w:tc>
        <w:tc>
          <w:tcPr>
            <w:tcW w:w="1185" w:type="dxa"/>
            <w:tcBorders>
              <w:top w:val="single" w:color="auto" w:sz="4" w:space="0"/>
              <w:right w:val="single" w:color="auto" w:sz="4" w:space="0"/>
            </w:tcBorders>
            <w:vAlign w:val="center"/>
          </w:tcPr>
          <w:p>
            <w:r>
              <w:rPr>
                <w:rFonts w:hint="eastAsia"/>
                <w:b/>
                <w:bCs/>
              </w:rPr>
              <w:t>早上7点--晚上21点</w:t>
            </w:r>
          </w:p>
        </w:tc>
        <w:tc>
          <w:tcPr>
            <w:tcW w:w="1065" w:type="dxa"/>
            <w:vMerge w:val="continue"/>
            <w:tcBorders>
              <w:left w:val="single" w:color="auto" w:sz="4" w:space="0"/>
              <w:right w:val="single" w:color="auto" w:sz="4" w:space="0"/>
            </w:tcBorders>
            <w:vAlign w:val="center"/>
          </w:tcPr>
          <w:p/>
        </w:tc>
        <w:tc>
          <w:tcPr>
            <w:tcW w:w="1224" w:type="dxa"/>
            <w:vMerge w:val="continue"/>
            <w:tcBorders>
              <w:left w:val="single" w:color="auto" w:sz="4" w:space="0"/>
              <w:right w:val="single" w:color="auto" w:sz="4" w:space="0"/>
            </w:tcBorders>
            <w:vAlign w:val="center"/>
          </w:tcPr>
          <w:p/>
        </w:tc>
        <w:tc>
          <w:tcPr>
            <w:tcW w:w="915" w:type="dxa"/>
            <w:vMerge w:val="continue"/>
            <w:tcBorders>
              <w:lef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92" w:hRule="atLeast"/>
          <w:jc w:val="center"/>
        </w:trPr>
        <w:tc>
          <w:tcPr>
            <w:tcW w:w="474" w:type="dxa"/>
            <w:vAlign w:val="center"/>
          </w:tcPr>
          <w:p>
            <w:pPr>
              <w:jc w:val="center"/>
            </w:pPr>
            <w:bookmarkStart w:id="4" w:name="_Toc254970593"/>
            <w:bookmarkStart w:id="5" w:name="_Toc173211905"/>
            <w:bookmarkStart w:id="6" w:name="_Toc173066406"/>
            <w:bookmarkStart w:id="7" w:name="_Toc254970734"/>
            <w:r>
              <w:rPr>
                <w:rFonts w:hint="eastAsia"/>
              </w:rPr>
              <w:t>1</w:t>
            </w:r>
            <w:bookmarkEnd w:id="4"/>
            <w:bookmarkEnd w:id="5"/>
            <w:bookmarkEnd w:id="6"/>
            <w:bookmarkEnd w:id="7"/>
          </w:p>
        </w:tc>
        <w:tc>
          <w:tcPr>
            <w:tcW w:w="1446" w:type="dxa"/>
            <w:vAlign w:val="center"/>
          </w:tcPr>
          <w:p>
            <w:pPr>
              <w:rPr>
                <w:b/>
                <w:bCs/>
              </w:rPr>
            </w:pPr>
            <w:r>
              <w:rPr>
                <w:rFonts w:hint="eastAsia"/>
                <w:b/>
                <w:bCs/>
              </w:rPr>
              <w:t>5座轿车（一档，售价16-25万元合资中型三厢车，丰田凯美瑞、大众迈腾、本田雅阁、别克君越等同档次）</w:t>
            </w: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92" w:hRule="atLeast"/>
          <w:jc w:val="center"/>
        </w:trPr>
        <w:tc>
          <w:tcPr>
            <w:tcW w:w="474" w:type="dxa"/>
            <w:vAlign w:val="center"/>
          </w:tcPr>
          <w:p>
            <w:pPr>
              <w:jc w:val="center"/>
            </w:pPr>
            <w:r>
              <w:rPr>
                <w:rFonts w:hint="eastAsia"/>
              </w:rPr>
              <w:t>2</w:t>
            </w:r>
          </w:p>
        </w:tc>
        <w:tc>
          <w:tcPr>
            <w:tcW w:w="1446" w:type="dxa"/>
            <w:vAlign w:val="center"/>
          </w:tcPr>
          <w:p>
            <w:pPr>
              <w:textAlignment w:val="baseline"/>
              <w:rPr>
                <w:rFonts w:ascii="Helvetica" w:hAnsi="Helvetica"/>
                <w:b/>
                <w:bCs/>
                <w:sz w:val="30"/>
                <w:szCs w:val="30"/>
              </w:rPr>
            </w:pPr>
            <w:r>
              <w:rPr>
                <w:rFonts w:hint="eastAsia"/>
                <w:b/>
                <w:bCs/>
              </w:rPr>
              <w:t>5座轿车（二档，售价10-15万元合资或国产中型三厢车,丰田卡罗拉、大众</w:t>
            </w:r>
            <w:r>
              <w:fldChar w:fldCharType="begin"/>
            </w:r>
            <w:r>
              <w:instrText xml:space="preserve"> HYPERLINK "https://www.autohome.com.cn/614/" </w:instrText>
            </w:r>
            <w:r>
              <w:fldChar w:fldCharType="separate"/>
            </w:r>
            <w:r>
              <w:rPr>
                <w:b/>
              </w:rPr>
              <w:t>朗逸</w:t>
            </w:r>
            <w:r>
              <w:rPr>
                <w:b/>
              </w:rPr>
              <w:fldChar w:fldCharType="end"/>
            </w:r>
            <w:r>
              <w:rPr>
                <w:rFonts w:hint="eastAsia"/>
                <w:b/>
                <w:bCs/>
              </w:rPr>
              <w:t>等）</w:t>
            </w: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92" w:hRule="atLeast"/>
          <w:jc w:val="center"/>
        </w:trPr>
        <w:tc>
          <w:tcPr>
            <w:tcW w:w="474" w:type="dxa"/>
            <w:vAlign w:val="center"/>
          </w:tcPr>
          <w:p>
            <w:pPr>
              <w:jc w:val="center"/>
            </w:pPr>
          </w:p>
        </w:tc>
        <w:tc>
          <w:tcPr>
            <w:tcW w:w="1446" w:type="dxa"/>
            <w:vAlign w:val="center"/>
          </w:tcPr>
          <w:p>
            <w:pPr>
              <w:rPr>
                <w:b/>
                <w:bCs/>
              </w:rPr>
            </w:pP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25" w:hRule="atLeast"/>
          <w:jc w:val="center"/>
        </w:trPr>
        <w:tc>
          <w:tcPr>
            <w:tcW w:w="474" w:type="dxa"/>
            <w:vAlign w:val="center"/>
          </w:tcPr>
          <w:p>
            <w:pPr>
              <w:jc w:val="center"/>
            </w:pPr>
            <w:r>
              <w:rPr>
                <w:rFonts w:hint="eastAsia"/>
              </w:rPr>
              <w:t>3</w:t>
            </w:r>
          </w:p>
        </w:tc>
        <w:tc>
          <w:tcPr>
            <w:tcW w:w="1446" w:type="dxa"/>
            <w:vAlign w:val="center"/>
          </w:tcPr>
          <w:p>
            <w:pPr>
              <w:rPr>
                <w:b/>
                <w:bCs/>
              </w:rPr>
            </w:pPr>
            <w:r>
              <w:rPr>
                <w:rFonts w:hint="eastAsia"/>
                <w:b/>
                <w:bCs/>
              </w:rPr>
              <w:t>7座商务车（售价20-40万元商务车，参照别克GL8同档次）</w:t>
            </w: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r>
              <w:rPr>
                <w:rFonts w:hint="eastAsia"/>
              </w:rPr>
              <w:t>4</w:t>
            </w:r>
          </w:p>
        </w:tc>
        <w:tc>
          <w:tcPr>
            <w:tcW w:w="1446" w:type="dxa"/>
            <w:vAlign w:val="center"/>
          </w:tcPr>
          <w:p>
            <w:pPr>
              <w:rPr>
                <w:b/>
                <w:bCs/>
              </w:rPr>
            </w:pPr>
            <w:r>
              <w:rPr>
                <w:rFonts w:hint="eastAsia"/>
                <w:b/>
                <w:bCs/>
              </w:rPr>
              <w:t>5-7座城市SUV（18-30万元，大众途观档次）</w:t>
            </w: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r>
              <w:rPr>
                <w:rFonts w:hint="eastAsia"/>
              </w:rPr>
              <w:t>5</w:t>
            </w:r>
          </w:p>
        </w:tc>
        <w:tc>
          <w:tcPr>
            <w:tcW w:w="1446" w:type="dxa"/>
            <w:vAlign w:val="center"/>
          </w:tcPr>
          <w:p>
            <w:pPr>
              <w:rPr>
                <w:b/>
                <w:bCs/>
              </w:rPr>
            </w:pPr>
            <w:r>
              <w:rPr>
                <w:rFonts w:hint="eastAsia"/>
                <w:b/>
                <w:bCs/>
              </w:rPr>
              <w:t>5座越野车（30-60万元，丰田普拉多同档次）</w:t>
            </w: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r>
              <w:rPr>
                <w:rFonts w:hint="eastAsia"/>
              </w:rPr>
              <w:t>6</w:t>
            </w:r>
          </w:p>
        </w:tc>
        <w:tc>
          <w:tcPr>
            <w:tcW w:w="1446" w:type="dxa"/>
            <w:vAlign w:val="center"/>
          </w:tcPr>
          <w:p>
            <w:pPr>
              <w:rPr>
                <w:b/>
                <w:bCs/>
              </w:rPr>
            </w:pPr>
            <w:r>
              <w:rPr>
                <w:rFonts w:hint="eastAsia"/>
                <w:b/>
                <w:bCs/>
              </w:rPr>
              <w:t>5座越野车（12-20万元，长丰猎豹同档次）</w:t>
            </w: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r>
              <w:rPr>
                <w:rFonts w:hint="eastAsia"/>
              </w:rPr>
              <w:t>…</w:t>
            </w:r>
          </w:p>
        </w:tc>
        <w:tc>
          <w:tcPr>
            <w:tcW w:w="1446" w:type="dxa"/>
            <w:vAlign w:val="center"/>
          </w:tcP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tc>
      </w:tr>
    </w:tbl>
    <w:p>
      <w:pPr>
        <w:spacing w:line="500" w:lineRule="exact"/>
        <w:ind w:firstLine="630" w:firstLineChars="300"/>
      </w:pPr>
      <w:r>
        <w:rPr>
          <w:rFonts w:hint="eastAsia" w:ascii="宋体" w:hAnsi="宋体"/>
          <w:szCs w:val="21"/>
        </w:rPr>
        <w:t>说明：投标人根据公司现有车型进行报价，须标注车辆品牌车型及座位数</w:t>
      </w:r>
      <w:r>
        <w:rPr>
          <w:rFonts w:hint="eastAsia"/>
        </w:rPr>
        <w:t>。过桥过路费据实另计。车辆租赁企业必须提供租赁车辆的所有权归属信息（自购车辆须提供购车发票复印件、合作经营车辆须提供合同复印件（原件备查））。</w:t>
      </w:r>
    </w:p>
    <w:p>
      <w:pPr>
        <w:spacing w:line="500" w:lineRule="exact"/>
        <w:ind w:firstLine="630" w:firstLineChars="300"/>
      </w:pPr>
    </w:p>
    <w:p>
      <w:pPr>
        <w:pStyle w:val="2"/>
        <w:spacing w:line="400" w:lineRule="exact"/>
        <w:ind w:firstLine="531" w:firstLineChars="252"/>
        <w:rPr>
          <w:rFonts w:hAnsi="宋体"/>
          <w:szCs w:val="21"/>
          <w:u w:val="single"/>
        </w:rPr>
      </w:pPr>
      <w:r>
        <w:rPr>
          <w:rFonts w:hint="eastAsia" w:hAnsi="宋体"/>
          <w:b/>
          <w:bCs/>
          <w:szCs w:val="21"/>
        </w:rPr>
        <w:t>（2）客车报价</w:t>
      </w:r>
    </w:p>
    <w:tbl>
      <w:tblPr>
        <w:tblStyle w:val="6"/>
        <w:tblW w:w="9549" w:type="dxa"/>
        <w:jc w:val="center"/>
        <w:tblInd w:w="-246"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4"/>
        <w:gridCol w:w="1446"/>
        <w:gridCol w:w="1191"/>
        <w:gridCol w:w="1074"/>
        <w:gridCol w:w="975"/>
        <w:gridCol w:w="1185"/>
        <w:gridCol w:w="1065"/>
        <w:gridCol w:w="1224"/>
        <w:gridCol w:w="91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804" w:hRule="atLeast"/>
          <w:jc w:val="center"/>
        </w:trPr>
        <w:tc>
          <w:tcPr>
            <w:tcW w:w="474" w:type="dxa"/>
            <w:vMerge w:val="restart"/>
            <w:vAlign w:val="center"/>
          </w:tcPr>
          <w:p>
            <w:pPr>
              <w:jc w:val="center"/>
              <w:rPr>
                <w:b/>
                <w:bCs/>
              </w:rPr>
            </w:pPr>
            <w:r>
              <w:rPr>
                <w:rFonts w:hint="eastAsia"/>
                <w:b/>
                <w:bCs/>
              </w:rPr>
              <w:t>序号</w:t>
            </w:r>
          </w:p>
        </w:tc>
        <w:tc>
          <w:tcPr>
            <w:tcW w:w="1446" w:type="dxa"/>
            <w:vMerge w:val="restart"/>
            <w:vAlign w:val="center"/>
          </w:tcPr>
          <w:p>
            <w:pPr>
              <w:jc w:val="center"/>
              <w:rPr>
                <w:b/>
                <w:bCs/>
              </w:rPr>
            </w:pPr>
            <w:r>
              <w:rPr>
                <w:rFonts w:hint="eastAsia"/>
                <w:b/>
                <w:bCs/>
              </w:rPr>
              <w:t>车型及要求</w:t>
            </w:r>
          </w:p>
        </w:tc>
        <w:tc>
          <w:tcPr>
            <w:tcW w:w="1191" w:type="dxa"/>
            <w:tcBorders>
              <w:bottom w:val="single" w:color="auto" w:sz="4" w:space="0"/>
            </w:tcBorders>
            <w:vAlign w:val="center"/>
          </w:tcPr>
          <w:p>
            <w:pPr>
              <w:jc w:val="center"/>
              <w:rPr>
                <w:b/>
                <w:bCs/>
              </w:rPr>
            </w:pPr>
            <w:r>
              <w:rPr>
                <w:rFonts w:hint="eastAsia"/>
                <w:b/>
                <w:bCs/>
              </w:rPr>
              <w:t>市内用车</w:t>
            </w:r>
          </w:p>
        </w:tc>
        <w:tc>
          <w:tcPr>
            <w:tcW w:w="1074" w:type="dxa"/>
            <w:vMerge w:val="restart"/>
            <w:vAlign w:val="center"/>
          </w:tcPr>
          <w:p>
            <w:pPr>
              <w:jc w:val="center"/>
              <w:rPr>
                <w:b/>
                <w:bCs/>
              </w:rPr>
            </w:pPr>
            <w:r>
              <w:rPr>
                <w:rFonts w:hint="eastAsia"/>
                <w:b/>
                <w:bCs/>
              </w:rPr>
              <w:t>超时计费</w:t>
            </w:r>
          </w:p>
          <w:p>
            <w:pPr>
              <w:jc w:val="center"/>
              <w:rPr>
                <w:b/>
                <w:bCs/>
              </w:rPr>
            </w:pPr>
            <w:r>
              <w:rPr>
                <w:rFonts w:hint="eastAsia"/>
                <w:b/>
                <w:bCs/>
              </w:rPr>
              <w:t>（元/小时）</w:t>
            </w:r>
          </w:p>
        </w:tc>
        <w:tc>
          <w:tcPr>
            <w:tcW w:w="975" w:type="dxa"/>
            <w:vMerge w:val="restart"/>
            <w:vAlign w:val="center"/>
          </w:tcPr>
          <w:p>
            <w:pPr>
              <w:jc w:val="center"/>
              <w:rPr>
                <w:b/>
                <w:bCs/>
              </w:rPr>
            </w:pPr>
            <w:r>
              <w:rPr>
                <w:rFonts w:hint="eastAsia"/>
                <w:b/>
                <w:bCs/>
              </w:rPr>
              <w:t>超公里计费（元/公里）</w:t>
            </w:r>
          </w:p>
        </w:tc>
        <w:tc>
          <w:tcPr>
            <w:tcW w:w="1185" w:type="dxa"/>
            <w:vMerge w:val="restart"/>
            <w:tcBorders>
              <w:right w:val="single" w:color="auto" w:sz="4" w:space="0"/>
            </w:tcBorders>
            <w:vAlign w:val="center"/>
          </w:tcPr>
          <w:p>
            <w:pPr>
              <w:jc w:val="center"/>
              <w:rPr>
                <w:b/>
                <w:bCs/>
              </w:rPr>
            </w:pPr>
            <w:r>
              <w:rPr>
                <w:rFonts w:hint="eastAsia"/>
                <w:b/>
                <w:bCs/>
              </w:rPr>
              <w:t>机场接送（趟）</w:t>
            </w:r>
          </w:p>
        </w:tc>
        <w:tc>
          <w:tcPr>
            <w:tcW w:w="1065" w:type="dxa"/>
            <w:vMerge w:val="restart"/>
            <w:tcBorders>
              <w:left w:val="single" w:color="auto" w:sz="4" w:space="0"/>
              <w:right w:val="single" w:color="auto" w:sz="4" w:space="0"/>
            </w:tcBorders>
            <w:vAlign w:val="center"/>
          </w:tcPr>
          <w:p>
            <w:pPr>
              <w:jc w:val="center"/>
              <w:rPr>
                <w:b/>
                <w:bCs/>
              </w:rPr>
            </w:pPr>
            <w:r>
              <w:rPr>
                <w:rFonts w:hint="eastAsia"/>
                <w:b/>
                <w:bCs/>
              </w:rPr>
              <w:t>早班/晚班机（趟)</w:t>
            </w:r>
          </w:p>
        </w:tc>
        <w:tc>
          <w:tcPr>
            <w:tcW w:w="1224" w:type="dxa"/>
            <w:vMerge w:val="restart"/>
            <w:tcBorders>
              <w:left w:val="single" w:color="auto" w:sz="4" w:space="0"/>
              <w:right w:val="single" w:color="auto" w:sz="4" w:space="0"/>
            </w:tcBorders>
            <w:vAlign w:val="center"/>
          </w:tcPr>
          <w:p>
            <w:pPr>
              <w:jc w:val="center"/>
              <w:rPr>
                <w:b/>
                <w:bCs/>
              </w:rPr>
            </w:pPr>
            <w:r>
              <w:rPr>
                <w:rFonts w:hint="eastAsia"/>
                <w:b/>
                <w:bCs/>
              </w:rPr>
              <w:t>区内日行程200公里以上按公里数计费（元/公里）</w:t>
            </w:r>
          </w:p>
        </w:tc>
        <w:tc>
          <w:tcPr>
            <w:tcW w:w="915" w:type="dxa"/>
            <w:vMerge w:val="restart"/>
            <w:tcBorders>
              <w:left w:val="single" w:color="auto" w:sz="4" w:space="0"/>
            </w:tcBorders>
            <w:vAlign w:val="center"/>
          </w:tcPr>
          <w:p>
            <w:pPr>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12" w:hRule="atLeast"/>
          <w:jc w:val="center"/>
        </w:trPr>
        <w:tc>
          <w:tcPr>
            <w:tcW w:w="474" w:type="dxa"/>
            <w:vMerge w:val="continue"/>
            <w:vAlign w:val="center"/>
          </w:tcPr>
          <w:p>
            <w:pPr>
              <w:jc w:val="center"/>
              <w:rPr>
                <w:b/>
                <w:bCs/>
              </w:rPr>
            </w:pPr>
          </w:p>
        </w:tc>
        <w:tc>
          <w:tcPr>
            <w:tcW w:w="1446" w:type="dxa"/>
            <w:vMerge w:val="continue"/>
            <w:vAlign w:val="center"/>
          </w:tcPr>
          <w:p>
            <w:pPr>
              <w:rPr>
                <w:b/>
                <w:bCs/>
              </w:rPr>
            </w:pPr>
          </w:p>
        </w:tc>
        <w:tc>
          <w:tcPr>
            <w:tcW w:w="1191" w:type="dxa"/>
            <w:vMerge w:val="restart"/>
            <w:tcBorders>
              <w:top w:val="single" w:color="auto" w:sz="4" w:space="0"/>
            </w:tcBorders>
            <w:vAlign w:val="center"/>
          </w:tcPr>
          <w:p>
            <w:pPr>
              <w:rPr>
                <w:b/>
                <w:bCs/>
              </w:rPr>
            </w:pPr>
            <w:r>
              <w:rPr>
                <w:rFonts w:hint="eastAsia"/>
                <w:b/>
                <w:bCs/>
              </w:rPr>
              <w:t>（含80公里油/工作时间10小时</w:t>
            </w:r>
          </w:p>
        </w:tc>
        <w:tc>
          <w:tcPr>
            <w:tcW w:w="1074" w:type="dxa"/>
            <w:vMerge w:val="continue"/>
            <w:vAlign w:val="center"/>
          </w:tcPr>
          <w:p>
            <w:pPr>
              <w:rPr>
                <w:b/>
                <w:bCs/>
              </w:rPr>
            </w:pPr>
          </w:p>
        </w:tc>
        <w:tc>
          <w:tcPr>
            <w:tcW w:w="975" w:type="dxa"/>
            <w:vMerge w:val="continue"/>
            <w:vAlign w:val="center"/>
          </w:tcPr>
          <w:p>
            <w:pPr>
              <w:rPr>
                <w:b/>
                <w:bCs/>
              </w:rPr>
            </w:pPr>
          </w:p>
        </w:tc>
        <w:tc>
          <w:tcPr>
            <w:tcW w:w="1185" w:type="dxa"/>
            <w:vMerge w:val="continue"/>
            <w:tcBorders>
              <w:bottom w:val="single" w:color="auto" w:sz="4" w:space="0"/>
              <w:right w:val="single" w:color="auto" w:sz="4" w:space="0"/>
            </w:tcBorders>
            <w:vAlign w:val="center"/>
          </w:tcPr>
          <w:p>
            <w:pPr>
              <w:rPr>
                <w:b/>
                <w:bCs/>
              </w:rPr>
            </w:pPr>
          </w:p>
        </w:tc>
        <w:tc>
          <w:tcPr>
            <w:tcW w:w="1065" w:type="dxa"/>
            <w:vMerge w:val="continue"/>
            <w:tcBorders>
              <w:left w:val="single" w:color="auto" w:sz="4" w:space="0"/>
              <w:right w:val="single" w:color="auto" w:sz="4" w:space="0"/>
            </w:tcBorders>
            <w:vAlign w:val="center"/>
          </w:tcPr>
          <w:p>
            <w:pPr>
              <w:rPr>
                <w:b/>
                <w:bCs/>
              </w:rPr>
            </w:pPr>
          </w:p>
        </w:tc>
        <w:tc>
          <w:tcPr>
            <w:tcW w:w="1224" w:type="dxa"/>
            <w:vMerge w:val="continue"/>
            <w:tcBorders>
              <w:left w:val="single" w:color="auto" w:sz="4" w:space="0"/>
              <w:right w:val="single" w:color="auto" w:sz="4" w:space="0"/>
            </w:tcBorders>
            <w:vAlign w:val="center"/>
          </w:tcPr>
          <w:p>
            <w:pPr>
              <w:rPr>
                <w:b/>
                <w:bCs/>
              </w:rPr>
            </w:pPr>
          </w:p>
        </w:tc>
        <w:tc>
          <w:tcPr>
            <w:tcW w:w="915" w:type="dxa"/>
            <w:vMerge w:val="continue"/>
            <w:tcBorders>
              <w:lef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913" w:hRule="atLeast"/>
          <w:jc w:val="center"/>
        </w:trPr>
        <w:tc>
          <w:tcPr>
            <w:tcW w:w="474" w:type="dxa"/>
            <w:vMerge w:val="continue"/>
            <w:vAlign w:val="center"/>
          </w:tcPr>
          <w:p>
            <w:pPr>
              <w:jc w:val="center"/>
              <w:rPr>
                <w:b/>
                <w:bCs/>
              </w:rPr>
            </w:pPr>
          </w:p>
        </w:tc>
        <w:tc>
          <w:tcPr>
            <w:tcW w:w="1446" w:type="dxa"/>
            <w:vMerge w:val="continue"/>
            <w:vAlign w:val="center"/>
          </w:tcPr>
          <w:p>
            <w:pPr>
              <w:rPr>
                <w:b/>
                <w:bCs/>
              </w:rPr>
            </w:pPr>
          </w:p>
        </w:tc>
        <w:tc>
          <w:tcPr>
            <w:tcW w:w="1191" w:type="dxa"/>
            <w:vMerge w:val="continue"/>
            <w:vAlign w:val="center"/>
          </w:tcPr>
          <w:p>
            <w:pPr>
              <w:rPr>
                <w:b/>
                <w:bCs/>
              </w:rPr>
            </w:pPr>
          </w:p>
        </w:tc>
        <w:tc>
          <w:tcPr>
            <w:tcW w:w="1074" w:type="dxa"/>
            <w:vMerge w:val="continue"/>
            <w:vAlign w:val="center"/>
          </w:tcPr>
          <w:p>
            <w:pPr>
              <w:rPr>
                <w:b/>
                <w:bCs/>
              </w:rPr>
            </w:pPr>
          </w:p>
        </w:tc>
        <w:tc>
          <w:tcPr>
            <w:tcW w:w="975" w:type="dxa"/>
            <w:vMerge w:val="continue"/>
            <w:vAlign w:val="center"/>
          </w:tcPr>
          <w:p>
            <w:pPr>
              <w:rPr>
                <w:b/>
                <w:bCs/>
              </w:rPr>
            </w:pPr>
          </w:p>
        </w:tc>
        <w:tc>
          <w:tcPr>
            <w:tcW w:w="1185" w:type="dxa"/>
            <w:tcBorders>
              <w:top w:val="single" w:color="auto" w:sz="4" w:space="0"/>
              <w:right w:val="single" w:color="auto" w:sz="4" w:space="0"/>
            </w:tcBorders>
            <w:vAlign w:val="center"/>
          </w:tcPr>
          <w:p>
            <w:pPr>
              <w:rPr>
                <w:b/>
                <w:bCs/>
              </w:rPr>
            </w:pPr>
            <w:r>
              <w:rPr>
                <w:rFonts w:hint="eastAsia"/>
                <w:b/>
                <w:bCs/>
              </w:rPr>
              <w:t>早上7点--晚上21点</w:t>
            </w:r>
          </w:p>
        </w:tc>
        <w:tc>
          <w:tcPr>
            <w:tcW w:w="1065" w:type="dxa"/>
            <w:vMerge w:val="continue"/>
            <w:tcBorders>
              <w:left w:val="single" w:color="auto" w:sz="4" w:space="0"/>
              <w:right w:val="single" w:color="auto" w:sz="4" w:space="0"/>
            </w:tcBorders>
            <w:vAlign w:val="center"/>
          </w:tcPr>
          <w:p>
            <w:pPr>
              <w:rPr>
                <w:b/>
                <w:bCs/>
              </w:rPr>
            </w:pPr>
          </w:p>
        </w:tc>
        <w:tc>
          <w:tcPr>
            <w:tcW w:w="1224" w:type="dxa"/>
            <w:vMerge w:val="continue"/>
            <w:tcBorders>
              <w:left w:val="single" w:color="auto" w:sz="4" w:space="0"/>
              <w:right w:val="single" w:color="auto" w:sz="4" w:space="0"/>
            </w:tcBorders>
            <w:vAlign w:val="center"/>
          </w:tcPr>
          <w:p>
            <w:pPr>
              <w:rPr>
                <w:b/>
                <w:bCs/>
              </w:rPr>
            </w:pPr>
          </w:p>
        </w:tc>
        <w:tc>
          <w:tcPr>
            <w:tcW w:w="915" w:type="dxa"/>
            <w:vMerge w:val="continue"/>
            <w:tcBorders>
              <w:lef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92" w:hRule="atLeast"/>
          <w:jc w:val="center"/>
        </w:trPr>
        <w:tc>
          <w:tcPr>
            <w:tcW w:w="474" w:type="dxa"/>
            <w:vAlign w:val="center"/>
          </w:tcPr>
          <w:p>
            <w:pPr>
              <w:jc w:val="center"/>
              <w:rPr>
                <w:b/>
                <w:bCs/>
              </w:rPr>
            </w:pPr>
            <w:r>
              <w:rPr>
                <w:rFonts w:hint="eastAsia"/>
                <w:b/>
                <w:bCs/>
              </w:rPr>
              <w:t>1</w:t>
            </w:r>
          </w:p>
        </w:tc>
        <w:tc>
          <w:tcPr>
            <w:tcW w:w="1446" w:type="dxa"/>
            <w:vAlign w:val="center"/>
          </w:tcPr>
          <w:p>
            <w:pPr>
              <w:rPr>
                <w:b/>
                <w:bCs/>
              </w:rPr>
            </w:pPr>
            <w:r>
              <w:rPr>
                <w:rFonts w:hint="eastAsia"/>
                <w:b/>
                <w:bCs/>
              </w:rPr>
              <w:t>17-19座中巴客车（丰田</w:t>
            </w:r>
            <w:r>
              <w:rPr>
                <w:b/>
                <w:bCs/>
              </w:rPr>
              <w:t>考斯特</w:t>
            </w:r>
            <w:r>
              <w:rPr>
                <w:rFonts w:hint="eastAsia"/>
                <w:b/>
                <w:bCs/>
              </w:rPr>
              <w:t>同档车型）</w:t>
            </w:r>
          </w:p>
        </w:tc>
        <w:tc>
          <w:tcPr>
            <w:tcW w:w="1191" w:type="dxa"/>
            <w:vAlign w:val="center"/>
          </w:tcPr>
          <w:p>
            <w:pPr>
              <w:rPr>
                <w:b/>
                <w:bCs/>
              </w:rPr>
            </w:pPr>
          </w:p>
        </w:tc>
        <w:tc>
          <w:tcPr>
            <w:tcW w:w="1074" w:type="dxa"/>
            <w:vAlign w:val="center"/>
          </w:tcPr>
          <w:p>
            <w:pPr>
              <w:rPr>
                <w:b/>
                <w:bCs/>
              </w:rPr>
            </w:pPr>
          </w:p>
        </w:tc>
        <w:tc>
          <w:tcPr>
            <w:tcW w:w="975" w:type="dxa"/>
            <w:vAlign w:val="center"/>
          </w:tcPr>
          <w:p>
            <w:pPr>
              <w:rPr>
                <w:b/>
                <w:bCs/>
              </w:rPr>
            </w:pPr>
          </w:p>
        </w:tc>
        <w:tc>
          <w:tcPr>
            <w:tcW w:w="1185" w:type="dxa"/>
            <w:tcBorders>
              <w:right w:val="single" w:color="auto" w:sz="4" w:space="0"/>
            </w:tcBorders>
            <w:vAlign w:val="center"/>
          </w:tcPr>
          <w:p>
            <w:pPr>
              <w:rPr>
                <w:b/>
                <w:bCs/>
              </w:rPr>
            </w:pPr>
          </w:p>
        </w:tc>
        <w:tc>
          <w:tcPr>
            <w:tcW w:w="1065" w:type="dxa"/>
            <w:tcBorders>
              <w:left w:val="single" w:color="auto" w:sz="4" w:space="0"/>
              <w:right w:val="single" w:color="auto" w:sz="4" w:space="0"/>
            </w:tcBorders>
            <w:vAlign w:val="center"/>
          </w:tcPr>
          <w:p>
            <w:pPr>
              <w:rPr>
                <w:b/>
                <w:bCs/>
              </w:rPr>
            </w:pPr>
          </w:p>
        </w:tc>
        <w:tc>
          <w:tcPr>
            <w:tcW w:w="1224" w:type="dxa"/>
            <w:tcBorders>
              <w:left w:val="single" w:color="auto" w:sz="4" w:space="0"/>
              <w:right w:val="single" w:color="auto" w:sz="4" w:space="0"/>
            </w:tcBorders>
            <w:vAlign w:val="center"/>
          </w:tcPr>
          <w:p>
            <w:pPr>
              <w:rPr>
                <w:b/>
                <w:bCs/>
              </w:rPr>
            </w:p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25" w:hRule="atLeast"/>
          <w:jc w:val="center"/>
        </w:trPr>
        <w:tc>
          <w:tcPr>
            <w:tcW w:w="474" w:type="dxa"/>
            <w:vAlign w:val="center"/>
          </w:tcPr>
          <w:p>
            <w:pPr>
              <w:jc w:val="center"/>
              <w:rPr>
                <w:b/>
                <w:bCs/>
              </w:rPr>
            </w:pPr>
            <w:r>
              <w:rPr>
                <w:rFonts w:hint="eastAsia"/>
                <w:b/>
                <w:bCs/>
              </w:rPr>
              <w:t>2</w:t>
            </w:r>
          </w:p>
        </w:tc>
        <w:tc>
          <w:tcPr>
            <w:tcW w:w="1446" w:type="dxa"/>
            <w:vAlign w:val="center"/>
          </w:tcPr>
          <w:p>
            <w:pPr>
              <w:rPr>
                <w:b/>
                <w:bCs/>
              </w:rPr>
            </w:pPr>
            <w:r>
              <w:rPr>
                <w:rFonts w:hint="eastAsia"/>
                <w:b/>
                <w:bCs/>
              </w:rPr>
              <w:t>17-19座中巴客车（金龙、宇通同档车型）</w:t>
            </w:r>
          </w:p>
        </w:tc>
        <w:tc>
          <w:tcPr>
            <w:tcW w:w="1191" w:type="dxa"/>
            <w:vAlign w:val="center"/>
          </w:tcPr>
          <w:p>
            <w:pPr>
              <w:rPr>
                <w:b/>
                <w:bCs/>
              </w:rPr>
            </w:pPr>
          </w:p>
        </w:tc>
        <w:tc>
          <w:tcPr>
            <w:tcW w:w="1074" w:type="dxa"/>
            <w:vAlign w:val="center"/>
          </w:tcPr>
          <w:p>
            <w:pPr>
              <w:rPr>
                <w:b/>
                <w:bCs/>
              </w:rPr>
            </w:pPr>
          </w:p>
        </w:tc>
        <w:tc>
          <w:tcPr>
            <w:tcW w:w="975" w:type="dxa"/>
            <w:vAlign w:val="center"/>
          </w:tcPr>
          <w:p>
            <w:pPr>
              <w:rPr>
                <w:b/>
                <w:bCs/>
              </w:rPr>
            </w:pPr>
          </w:p>
        </w:tc>
        <w:tc>
          <w:tcPr>
            <w:tcW w:w="1185" w:type="dxa"/>
            <w:tcBorders>
              <w:right w:val="single" w:color="auto" w:sz="4" w:space="0"/>
            </w:tcBorders>
            <w:vAlign w:val="center"/>
          </w:tcPr>
          <w:p>
            <w:pPr>
              <w:rPr>
                <w:b/>
                <w:bCs/>
              </w:rPr>
            </w:pPr>
          </w:p>
        </w:tc>
        <w:tc>
          <w:tcPr>
            <w:tcW w:w="1065" w:type="dxa"/>
            <w:tcBorders>
              <w:left w:val="single" w:color="auto" w:sz="4" w:space="0"/>
              <w:right w:val="single" w:color="auto" w:sz="4" w:space="0"/>
            </w:tcBorders>
            <w:vAlign w:val="center"/>
          </w:tcPr>
          <w:p>
            <w:pPr>
              <w:rPr>
                <w:b/>
                <w:bCs/>
              </w:rPr>
            </w:pPr>
          </w:p>
        </w:tc>
        <w:tc>
          <w:tcPr>
            <w:tcW w:w="1224" w:type="dxa"/>
            <w:tcBorders>
              <w:left w:val="single" w:color="auto" w:sz="4" w:space="0"/>
              <w:right w:val="single" w:color="auto" w:sz="4" w:space="0"/>
            </w:tcBorders>
            <w:vAlign w:val="center"/>
          </w:tcPr>
          <w:p>
            <w:pPr>
              <w:rPr>
                <w:b/>
                <w:bCs/>
              </w:rPr>
            </w:p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25" w:hRule="atLeast"/>
          <w:jc w:val="center"/>
        </w:trPr>
        <w:tc>
          <w:tcPr>
            <w:tcW w:w="474" w:type="dxa"/>
            <w:vAlign w:val="center"/>
          </w:tcPr>
          <w:p>
            <w:pPr>
              <w:jc w:val="center"/>
              <w:rPr>
                <w:b/>
                <w:bCs/>
              </w:rPr>
            </w:pPr>
            <w:r>
              <w:rPr>
                <w:rFonts w:hint="eastAsia"/>
                <w:b/>
                <w:bCs/>
              </w:rPr>
              <w:t>3</w:t>
            </w:r>
          </w:p>
        </w:tc>
        <w:tc>
          <w:tcPr>
            <w:tcW w:w="1446" w:type="dxa"/>
            <w:vAlign w:val="center"/>
          </w:tcPr>
          <w:p>
            <w:pPr>
              <w:rPr>
                <w:b/>
                <w:bCs/>
              </w:rPr>
            </w:pPr>
            <w:r>
              <w:rPr>
                <w:rFonts w:hint="eastAsia"/>
                <w:b/>
                <w:bCs/>
              </w:rPr>
              <w:t>23-26座中巴客车（金龙、宇通等同档车型）</w:t>
            </w:r>
          </w:p>
        </w:tc>
        <w:tc>
          <w:tcPr>
            <w:tcW w:w="1191" w:type="dxa"/>
            <w:vAlign w:val="center"/>
          </w:tcPr>
          <w:p>
            <w:pPr>
              <w:rPr>
                <w:b/>
                <w:bCs/>
              </w:rPr>
            </w:pPr>
          </w:p>
        </w:tc>
        <w:tc>
          <w:tcPr>
            <w:tcW w:w="1074" w:type="dxa"/>
            <w:vAlign w:val="center"/>
          </w:tcPr>
          <w:p>
            <w:pPr>
              <w:rPr>
                <w:b/>
                <w:bCs/>
              </w:rPr>
            </w:pPr>
          </w:p>
        </w:tc>
        <w:tc>
          <w:tcPr>
            <w:tcW w:w="975" w:type="dxa"/>
            <w:vAlign w:val="center"/>
          </w:tcPr>
          <w:p>
            <w:pPr>
              <w:rPr>
                <w:b/>
                <w:bCs/>
              </w:rPr>
            </w:pPr>
          </w:p>
        </w:tc>
        <w:tc>
          <w:tcPr>
            <w:tcW w:w="1185" w:type="dxa"/>
            <w:tcBorders>
              <w:right w:val="single" w:color="auto" w:sz="4" w:space="0"/>
            </w:tcBorders>
            <w:vAlign w:val="center"/>
          </w:tcPr>
          <w:p>
            <w:pPr>
              <w:rPr>
                <w:b/>
                <w:bCs/>
              </w:rPr>
            </w:pPr>
          </w:p>
        </w:tc>
        <w:tc>
          <w:tcPr>
            <w:tcW w:w="1065" w:type="dxa"/>
            <w:tcBorders>
              <w:left w:val="single" w:color="auto" w:sz="4" w:space="0"/>
              <w:right w:val="single" w:color="auto" w:sz="4" w:space="0"/>
            </w:tcBorders>
            <w:vAlign w:val="center"/>
          </w:tcPr>
          <w:p>
            <w:pPr>
              <w:rPr>
                <w:b/>
                <w:bCs/>
              </w:rPr>
            </w:pPr>
          </w:p>
        </w:tc>
        <w:tc>
          <w:tcPr>
            <w:tcW w:w="1224" w:type="dxa"/>
            <w:tcBorders>
              <w:left w:val="single" w:color="auto" w:sz="4" w:space="0"/>
              <w:right w:val="single" w:color="auto" w:sz="4" w:space="0"/>
            </w:tcBorders>
            <w:vAlign w:val="center"/>
          </w:tcPr>
          <w:p>
            <w:pPr>
              <w:rPr>
                <w:b/>
                <w:bCs/>
              </w:rPr>
            </w:p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pPr>
              <w:jc w:val="center"/>
              <w:rPr>
                <w:b/>
                <w:bCs/>
              </w:rPr>
            </w:pPr>
            <w:r>
              <w:rPr>
                <w:rFonts w:hint="eastAsia"/>
                <w:b/>
                <w:bCs/>
              </w:rPr>
              <w:t>4</w:t>
            </w:r>
          </w:p>
        </w:tc>
        <w:tc>
          <w:tcPr>
            <w:tcW w:w="1446" w:type="dxa"/>
            <w:vAlign w:val="center"/>
          </w:tcPr>
          <w:p>
            <w:pPr>
              <w:rPr>
                <w:b/>
                <w:bCs/>
              </w:rPr>
            </w:pPr>
            <w:r>
              <w:rPr>
                <w:rFonts w:hint="eastAsia"/>
                <w:b/>
                <w:bCs/>
              </w:rPr>
              <w:t>35-39座大巴客车（金龙、宇通等同档车型）</w:t>
            </w:r>
          </w:p>
        </w:tc>
        <w:tc>
          <w:tcPr>
            <w:tcW w:w="1191" w:type="dxa"/>
            <w:vAlign w:val="center"/>
          </w:tcPr>
          <w:p>
            <w:pPr>
              <w:rPr>
                <w:b/>
                <w:bCs/>
              </w:rPr>
            </w:pPr>
          </w:p>
        </w:tc>
        <w:tc>
          <w:tcPr>
            <w:tcW w:w="1074" w:type="dxa"/>
            <w:vAlign w:val="center"/>
          </w:tcPr>
          <w:p>
            <w:pPr>
              <w:rPr>
                <w:b/>
                <w:bCs/>
              </w:rPr>
            </w:pPr>
          </w:p>
        </w:tc>
        <w:tc>
          <w:tcPr>
            <w:tcW w:w="975" w:type="dxa"/>
            <w:vAlign w:val="center"/>
          </w:tcPr>
          <w:p>
            <w:pPr>
              <w:rPr>
                <w:b/>
                <w:bCs/>
              </w:rPr>
            </w:pPr>
          </w:p>
        </w:tc>
        <w:tc>
          <w:tcPr>
            <w:tcW w:w="1185" w:type="dxa"/>
            <w:tcBorders>
              <w:right w:val="single" w:color="auto" w:sz="4" w:space="0"/>
            </w:tcBorders>
            <w:vAlign w:val="center"/>
          </w:tcPr>
          <w:p>
            <w:pPr>
              <w:rPr>
                <w:b/>
                <w:bCs/>
              </w:rPr>
            </w:pPr>
          </w:p>
        </w:tc>
        <w:tc>
          <w:tcPr>
            <w:tcW w:w="1065" w:type="dxa"/>
            <w:tcBorders>
              <w:left w:val="single" w:color="auto" w:sz="4" w:space="0"/>
              <w:right w:val="single" w:color="auto" w:sz="4" w:space="0"/>
            </w:tcBorders>
            <w:vAlign w:val="center"/>
          </w:tcPr>
          <w:p>
            <w:pPr>
              <w:rPr>
                <w:b/>
                <w:bCs/>
              </w:rPr>
            </w:pPr>
          </w:p>
        </w:tc>
        <w:tc>
          <w:tcPr>
            <w:tcW w:w="1224" w:type="dxa"/>
            <w:tcBorders>
              <w:left w:val="single" w:color="auto" w:sz="4" w:space="0"/>
              <w:right w:val="single" w:color="auto" w:sz="4" w:space="0"/>
            </w:tcBorders>
            <w:vAlign w:val="center"/>
          </w:tcPr>
          <w:p>
            <w:pPr>
              <w:rPr>
                <w:b/>
                <w:bCs/>
              </w:rPr>
            </w:p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pPr>
              <w:jc w:val="center"/>
              <w:rPr>
                <w:b/>
                <w:bCs/>
              </w:rPr>
            </w:pPr>
            <w:r>
              <w:rPr>
                <w:rFonts w:hint="eastAsia"/>
                <w:b/>
                <w:bCs/>
              </w:rPr>
              <w:t>5</w:t>
            </w:r>
          </w:p>
        </w:tc>
        <w:tc>
          <w:tcPr>
            <w:tcW w:w="1446" w:type="dxa"/>
            <w:vAlign w:val="center"/>
          </w:tcPr>
          <w:p>
            <w:pPr>
              <w:rPr>
                <w:b/>
                <w:bCs/>
              </w:rPr>
            </w:pPr>
            <w:r>
              <w:rPr>
                <w:rFonts w:hint="eastAsia"/>
                <w:b/>
                <w:bCs/>
              </w:rPr>
              <w:t>45-49座大巴客车（金龙、宇通等同档车型）</w:t>
            </w:r>
          </w:p>
        </w:tc>
        <w:tc>
          <w:tcPr>
            <w:tcW w:w="1191" w:type="dxa"/>
            <w:vAlign w:val="center"/>
          </w:tcPr>
          <w:p>
            <w:pPr>
              <w:rPr>
                <w:b/>
                <w:bCs/>
              </w:rPr>
            </w:pPr>
          </w:p>
        </w:tc>
        <w:tc>
          <w:tcPr>
            <w:tcW w:w="1074" w:type="dxa"/>
            <w:vAlign w:val="center"/>
          </w:tcPr>
          <w:p>
            <w:pPr>
              <w:rPr>
                <w:b/>
                <w:bCs/>
              </w:rPr>
            </w:pPr>
          </w:p>
        </w:tc>
        <w:tc>
          <w:tcPr>
            <w:tcW w:w="975" w:type="dxa"/>
            <w:vAlign w:val="center"/>
          </w:tcPr>
          <w:p>
            <w:pPr>
              <w:rPr>
                <w:b/>
                <w:bCs/>
              </w:rPr>
            </w:pPr>
          </w:p>
        </w:tc>
        <w:tc>
          <w:tcPr>
            <w:tcW w:w="1185" w:type="dxa"/>
            <w:tcBorders>
              <w:right w:val="single" w:color="auto" w:sz="4" w:space="0"/>
            </w:tcBorders>
            <w:vAlign w:val="center"/>
          </w:tcPr>
          <w:p>
            <w:pPr>
              <w:rPr>
                <w:b/>
                <w:bCs/>
              </w:rPr>
            </w:pPr>
          </w:p>
        </w:tc>
        <w:tc>
          <w:tcPr>
            <w:tcW w:w="1065" w:type="dxa"/>
            <w:tcBorders>
              <w:left w:val="single" w:color="auto" w:sz="4" w:space="0"/>
              <w:right w:val="single" w:color="auto" w:sz="4" w:space="0"/>
            </w:tcBorders>
            <w:vAlign w:val="center"/>
          </w:tcPr>
          <w:p>
            <w:pPr>
              <w:rPr>
                <w:b/>
                <w:bCs/>
              </w:rPr>
            </w:pPr>
          </w:p>
        </w:tc>
        <w:tc>
          <w:tcPr>
            <w:tcW w:w="1224" w:type="dxa"/>
            <w:tcBorders>
              <w:left w:val="single" w:color="auto" w:sz="4" w:space="0"/>
              <w:right w:val="single" w:color="auto" w:sz="4" w:space="0"/>
            </w:tcBorders>
            <w:vAlign w:val="center"/>
          </w:tcPr>
          <w:p>
            <w:pPr>
              <w:rPr>
                <w:b/>
                <w:bCs/>
              </w:rPr>
            </w:p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pPr>
              <w:jc w:val="center"/>
              <w:rPr>
                <w:b/>
                <w:bCs/>
              </w:rPr>
            </w:pPr>
            <w:r>
              <w:rPr>
                <w:rFonts w:hint="eastAsia"/>
                <w:b/>
                <w:bCs/>
              </w:rPr>
              <w:t>6</w:t>
            </w:r>
          </w:p>
        </w:tc>
        <w:tc>
          <w:tcPr>
            <w:tcW w:w="1446" w:type="dxa"/>
            <w:vAlign w:val="center"/>
          </w:tcPr>
          <w:p>
            <w:pPr>
              <w:rPr>
                <w:b/>
                <w:bCs/>
              </w:rPr>
            </w:pPr>
            <w:r>
              <w:rPr>
                <w:rFonts w:hint="eastAsia"/>
                <w:b/>
                <w:bCs/>
              </w:rPr>
              <w:t>53座大巴客车（金龙、宇通等同档车型）</w:t>
            </w:r>
          </w:p>
        </w:tc>
        <w:tc>
          <w:tcPr>
            <w:tcW w:w="1191" w:type="dxa"/>
            <w:vAlign w:val="center"/>
          </w:tcPr>
          <w:p>
            <w:pPr>
              <w:rPr>
                <w:b/>
                <w:bCs/>
              </w:rPr>
            </w:pPr>
          </w:p>
        </w:tc>
        <w:tc>
          <w:tcPr>
            <w:tcW w:w="1074" w:type="dxa"/>
            <w:vAlign w:val="center"/>
          </w:tcPr>
          <w:p>
            <w:pPr>
              <w:rPr>
                <w:b/>
                <w:bCs/>
              </w:rPr>
            </w:pPr>
          </w:p>
        </w:tc>
        <w:tc>
          <w:tcPr>
            <w:tcW w:w="975" w:type="dxa"/>
            <w:vAlign w:val="center"/>
          </w:tcPr>
          <w:p>
            <w:pPr>
              <w:rPr>
                <w:b/>
                <w:bCs/>
              </w:rPr>
            </w:pPr>
          </w:p>
        </w:tc>
        <w:tc>
          <w:tcPr>
            <w:tcW w:w="1185" w:type="dxa"/>
            <w:tcBorders>
              <w:right w:val="single" w:color="auto" w:sz="4" w:space="0"/>
            </w:tcBorders>
            <w:vAlign w:val="center"/>
          </w:tcPr>
          <w:p>
            <w:pPr>
              <w:rPr>
                <w:b/>
                <w:bCs/>
              </w:rPr>
            </w:pPr>
          </w:p>
        </w:tc>
        <w:tc>
          <w:tcPr>
            <w:tcW w:w="1065" w:type="dxa"/>
            <w:tcBorders>
              <w:left w:val="single" w:color="auto" w:sz="4" w:space="0"/>
              <w:right w:val="single" w:color="auto" w:sz="4" w:space="0"/>
            </w:tcBorders>
            <w:vAlign w:val="center"/>
          </w:tcPr>
          <w:p>
            <w:pPr>
              <w:rPr>
                <w:b/>
                <w:bCs/>
              </w:rPr>
            </w:pPr>
          </w:p>
        </w:tc>
        <w:tc>
          <w:tcPr>
            <w:tcW w:w="1224" w:type="dxa"/>
            <w:tcBorders>
              <w:left w:val="single" w:color="auto" w:sz="4" w:space="0"/>
              <w:right w:val="single" w:color="auto" w:sz="4" w:space="0"/>
            </w:tcBorders>
            <w:vAlign w:val="center"/>
          </w:tcPr>
          <w:p>
            <w:pPr>
              <w:rPr>
                <w:b/>
                <w:bCs/>
              </w:rPr>
            </w:p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pPr>
              <w:rPr>
                <w:b/>
                <w:bCs/>
              </w:rPr>
            </w:pPr>
            <w:r>
              <w:rPr>
                <w:rFonts w:hint="eastAsia"/>
                <w:b/>
                <w:bCs/>
              </w:rPr>
              <w:t>…</w:t>
            </w:r>
          </w:p>
        </w:tc>
        <w:tc>
          <w:tcPr>
            <w:tcW w:w="1446" w:type="dxa"/>
            <w:vAlign w:val="center"/>
          </w:tcPr>
          <w:p>
            <w:pPr>
              <w:rPr>
                <w:b/>
                <w:bCs/>
              </w:rPr>
            </w:pPr>
          </w:p>
        </w:tc>
        <w:tc>
          <w:tcPr>
            <w:tcW w:w="1191" w:type="dxa"/>
            <w:vAlign w:val="center"/>
          </w:tcPr>
          <w:p>
            <w:pPr>
              <w:rPr>
                <w:b/>
                <w:bCs/>
              </w:rPr>
            </w:pPr>
          </w:p>
        </w:tc>
        <w:tc>
          <w:tcPr>
            <w:tcW w:w="1074" w:type="dxa"/>
            <w:vAlign w:val="center"/>
          </w:tcPr>
          <w:p>
            <w:pPr>
              <w:rPr>
                <w:b/>
                <w:bCs/>
              </w:rPr>
            </w:pPr>
          </w:p>
        </w:tc>
        <w:tc>
          <w:tcPr>
            <w:tcW w:w="975" w:type="dxa"/>
            <w:vAlign w:val="center"/>
          </w:tcPr>
          <w:p>
            <w:pPr>
              <w:rPr>
                <w:b/>
                <w:bCs/>
              </w:rPr>
            </w:pPr>
          </w:p>
        </w:tc>
        <w:tc>
          <w:tcPr>
            <w:tcW w:w="1185" w:type="dxa"/>
            <w:tcBorders>
              <w:right w:val="single" w:color="auto" w:sz="4" w:space="0"/>
            </w:tcBorders>
            <w:vAlign w:val="center"/>
          </w:tcPr>
          <w:p>
            <w:pPr>
              <w:rPr>
                <w:b/>
                <w:bCs/>
              </w:rPr>
            </w:pPr>
          </w:p>
        </w:tc>
        <w:tc>
          <w:tcPr>
            <w:tcW w:w="1065" w:type="dxa"/>
            <w:tcBorders>
              <w:left w:val="single" w:color="auto" w:sz="4" w:space="0"/>
              <w:right w:val="single" w:color="auto" w:sz="4" w:space="0"/>
            </w:tcBorders>
            <w:vAlign w:val="center"/>
          </w:tcPr>
          <w:p>
            <w:pPr>
              <w:rPr>
                <w:b/>
                <w:bCs/>
              </w:rPr>
            </w:pPr>
          </w:p>
        </w:tc>
        <w:tc>
          <w:tcPr>
            <w:tcW w:w="1224" w:type="dxa"/>
            <w:tcBorders>
              <w:left w:val="single" w:color="auto" w:sz="4" w:space="0"/>
              <w:right w:val="single" w:color="auto" w:sz="4" w:space="0"/>
            </w:tcBorders>
            <w:vAlign w:val="center"/>
          </w:tcPr>
          <w:p>
            <w:pPr>
              <w:rPr>
                <w:b/>
                <w:bCs/>
              </w:rPr>
            </w:pPr>
          </w:p>
        </w:tc>
        <w:tc>
          <w:tcPr>
            <w:tcW w:w="915" w:type="dxa"/>
            <w:tcBorders>
              <w:left w:val="single" w:color="auto" w:sz="4" w:space="0"/>
            </w:tcBorders>
            <w:vAlign w:val="center"/>
          </w:tcPr>
          <w:p>
            <w:pPr>
              <w:rPr>
                <w:b/>
                <w:bCs/>
              </w:rPr>
            </w:pPr>
          </w:p>
        </w:tc>
      </w:tr>
    </w:tbl>
    <w:p>
      <w:pPr>
        <w:spacing w:line="500" w:lineRule="exact"/>
        <w:ind w:firstLine="630" w:firstLineChars="300"/>
      </w:pPr>
      <w:r>
        <w:rPr>
          <w:rFonts w:hint="eastAsia" w:ascii="宋体" w:hAnsi="宋体"/>
          <w:szCs w:val="21"/>
        </w:rPr>
        <w:t>说明：投标人根据公司现有车型进行报价，须标注车辆品牌车型及座位数</w:t>
      </w:r>
      <w:r>
        <w:rPr>
          <w:rFonts w:hint="eastAsia"/>
        </w:rPr>
        <w:t>。过桥过路费据实另计。车辆租赁企业必须提供租赁车辆的所有权归属信息（自购车辆须提供购车发票复印件、合作经营车辆须提供合同复印件（原件备查））。</w:t>
      </w:r>
    </w:p>
    <w:p>
      <w:pPr>
        <w:spacing w:line="500" w:lineRule="exact"/>
        <w:ind w:firstLine="630" w:firstLineChars="300"/>
      </w:pPr>
    </w:p>
    <w:p>
      <w:pPr>
        <w:spacing w:line="500" w:lineRule="exact"/>
        <w:ind w:firstLine="630" w:firstLineChars="300"/>
      </w:pPr>
    </w:p>
    <w:p>
      <w:pPr>
        <w:spacing w:line="500" w:lineRule="exact"/>
        <w:ind w:firstLine="630" w:firstLineChars="300"/>
      </w:pPr>
    </w:p>
    <w:p>
      <w:pPr>
        <w:spacing w:line="500" w:lineRule="exact"/>
        <w:ind w:firstLine="630" w:firstLineChars="300"/>
      </w:pPr>
    </w:p>
    <w:p>
      <w:pPr>
        <w:pStyle w:val="2"/>
        <w:spacing w:line="600" w:lineRule="exact"/>
      </w:pPr>
    </w:p>
    <w:p>
      <w:pPr>
        <w:pStyle w:val="2"/>
        <w:ind w:firstLine="315" w:firstLineChars="150"/>
        <w:rPr>
          <w:u w:val="single"/>
        </w:rPr>
      </w:pPr>
      <w:r>
        <w:rPr>
          <w:rFonts w:hint="eastAsia"/>
        </w:rPr>
        <w:t>供应商盖公章：</w:t>
      </w:r>
    </w:p>
    <w:p>
      <w:pPr>
        <w:pStyle w:val="2"/>
      </w:pPr>
    </w:p>
    <w:p>
      <w:pPr>
        <w:pStyle w:val="2"/>
        <w:ind w:firstLine="315" w:firstLineChars="150"/>
        <w:rPr>
          <w:u w:val="single"/>
        </w:rPr>
      </w:pPr>
      <w:r>
        <w:rPr>
          <w:rFonts w:hint="eastAsia"/>
        </w:rPr>
        <w:t>法定代表人或委托代理人签字：</w:t>
      </w:r>
    </w:p>
    <w:p>
      <w:pPr>
        <w:pStyle w:val="2"/>
      </w:pPr>
    </w:p>
    <w:p>
      <w:pPr>
        <w:rPr>
          <w:sz w:val="32"/>
          <w:szCs w:val="32"/>
        </w:rPr>
      </w:pPr>
      <w:r>
        <w:rPr>
          <w:sz w:val="32"/>
          <w:szCs w:val="32"/>
        </w:rPr>
        <w:br w:type="page"/>
      </w:r>
    </w:p>
    <w:p>
      <w:pPr>
        <w:rPr>
          <w:sz w:val="32"/>
          <w:szCs w:val="32"/>
        </w:rPr>
      </w:pPr>
      <w:r>
        <w:rPr>
          <w:rFonts w:hint="eastAsia"/>
          <w:sz w:val="32"/>
          <w:szCs w:val="32"/>
        </w:rPr>
        <w:t>（2）报价函二（住宿酒店）</w:t>
      </w:r>
    </w:p>
    <w:p>
      <w:pPr>
        <w:pStyle w:val="2"/>
        <w:jc w:val="center"/>
        <w:rPr>
          <w:rFonts w:ascii="黑体" w:eastAsia="黑体"/>
          <w:b/>
          <w:sz w:val="32"/>
        </w:rPr>
      </w:pPr>
    </w:p>
    <w:p>
      <w:pPr>
        <w:pStyle w:val="2"/>
        <w:jc w:val="center"/>
        <w:rPr>
          <w:rFonts w:ascii="黑体" w:eastAsia="黑体"/>
          <w:b/>
          <w:sz w:val="32"/>
        </w:rPr>
      </w:pPr>
      <w:r>
        <w:rPr>
          <w:rFonts w:hint="eastAsia" w:ascii="黑体" w:eastAsia="黑体"/>
          <w:b/>
          <w:sz w:val="32"/>
        </w:rPr>
        <w:t>1.报 价 函 一（住宿酒店）（格 式）</w:t>
      </w:r>
    </w:p>
    <w:p>
      <w:pPr>
        <w:pStyle w:val="2"/>
      </w:pPr>
    </w:p>
    <w:p>
      <w:pPr>
        <w:pStyle w:val="2"/>
        <w:spacing w:line="480" w:lineRule="exact"/>
        <w:ind w:firstLine="420"/>
        <w:rPr>
          <w:u w:val="single"/>
        </w:rPr>
      </w:pPr>
      <w:r>
        <w:rPr>
          <w:rFonts w:hint="eastAsia"/>
        </w:rPr>
        <w:t>致：</w:t>
      </w:r>
      <w:r>
        <w:rPr>
          <w:rFonts w:hint="eastAsia"/>
          <w:u w:val="single"/>
        </w:rPr>
        <w:t>南宁师范大学</w:t>
      </w:r>
    </w:p>
    <w:p>
      <w:pPr>
        <w:pStyle w:val="2"/>
        <w:spacing w:line="480" w:lineRule="exact"/>
        <w:ind w:firstLine="420"/>
      </w:pPr>
      <w:r>
        <w:rPr>
          <w:rFonts w:hint="eastAsia"/>
        </w:rPr>
        <w:t>根据贵方</w:t>
      </w:r>
      <w:r>
        <w:rPr>
          <w:rFonts w:hint="eastAsia"/>
          <w:u w:val="single"/>
        </w:rPr>
        <w:t xml:space="preserve"> 南宁师范大学市内用车定点租赁和住宿酒店定点服务单位遴选询价 </w:t>
      </w:r>
      <w:r>
        <w:rPr>
          <w:rFonts w:hint="eastAsia"/>
        </w:rPr>
        <w:t>项目询价文件，项目编号</w:t>
      </w:r>
      <w:r>
        <w:rPr>
          <w:rFonts w:hint="eastAsia"/>
          <w:u w:val="single"/>
        </w:rPr>
        <w:t xml:space="preserve">NNNU2019-XJ01  </w:t>
      </w:r>
      <w:r>
        <w:rPr>
          <w:rFonts w:hint="eastAsia"/>
        </w:rPr>
        <w:t>，正式授权下述签字人（姓名和职务）并代表本单位 （报价</w:t>
      </w:r>
      <w:r>
        <w:rPr>
          <w:rFonts w:hint="eastAsia" w:hAnsi="宋体"/>
          <w:u w:val="single"/>
        </w:rPr>
        <w:t>供应商名称、地址</w:t>
      </w:r>
      <w:r>
        <w:rPr>
          <w:rFonts w:hint="eastAsia"/>
        </w:rPr>
        <w:t>），提交下述文件正本一份，副本二份。</w:t>
      </w:r>
    </w:p>
    <w:p>
      <w:pPr>
        <w:pStyle w:val="2"/>
        <w:spacing w:line="480" w:lineRule="exact"/>
        <w:ind w:firstLine="420"/>
        <w:rPr>
          <w:rFonts w:hAnsi="宋体"/>
        </w:rPr>
      </w:pPr>
      <w:r>
        <w:rPr>
          <w:rFonts w:hint="eastAsia" w:hAnsi="宋体"/>
        </w:rPr>
        <w:t>一、报价函；</w:t>
      </w:r>
    </w:p>
    <w:p>
      <w:pPr>
        <w:pStyle w:val="2"/>
        <w:spacing w:line="480" w:lineRule="exact"/>
        <w:ind w:firstLine="420"/>
      </w:pPr>
      <w:r>
        <w:rPr>
          <w:rFonts w:hint="eastAsia" w:hAnsi="宋体"/>
        </w:rPr>
        <w:t>二、</w:t>
      </w:r>
      <w:r>
        <w:rPr>
          <w:rFonts w:hint="eastAsia"/>
        </w:rPr>
        <w:t>报价明细表；</w:t>
      </w:r>
    </w:p>
    <w:p>
      <w:pPr>
        <w:pStyle w:val="2"/>
        <w:spacing w:line="480" w:lineRule="exact"/>
        <w:ind w:firstLine="420"/>
      </w:pPr>
      <w:r>
        <w:rPr>
          <w:rFonts w:hint="eastAsia"/>
        </w:rPr>
        <w:t>三、服务承诺书；</w:t>
      </w:r>
    </w:p>
    <w:p>
      <w:pPr>
        <w:pStyle w:val="2"/>
        <w:spacing w:line="480" w:lineRule="exact"/>
        <w:ind w:firstLine="420"/>
      </w:pPr>
      <w:r>
        <w:rPr>
          <w:rFonts w:hint="eastAsia"/>
        </w:rPr>
        <w:t>四、按询价文件要求提交的</w:t>
      </w:r>
      <w:r>
        <w:rPr>
          <w:rFonts w:hint="eastAsia" w:hAnsi="宋体"/>
        </w:rPr>
        <w:t>其它</w:t>
      </w:r>
      <w:r>
        <w:rPr>
          <w:rFonts w:hint="eastAsia"/>
        </w:rPr>
        <w:t>文件。</w:t>
      </w:r>
    </w:p>
    <w:p>
      <w:pPr>
        <w:pStyle w:val="2"/>
        <w:spacing w:line="480" w:lineRule="exact"/>
        <w:ind w:firstLine="420"/>
      </w:pPr>
      <w:r>
        <w:rPr>
          <w:rFonts w:hint="eastAsia"/>
        </w:rPr>
        <w:t>据此函，签字人兹宣布同意如下：</w:t>
      </w:r>
    </w:p>
    <w:p>
      <w:pPr>
        <w:pStyle w:val="2"/>
        <w:spacing w:line="480" w:lineRule="exact"/>
        <w:ind w:firstLine="420"/>
      </w:pPr>
      <w:r>
        <w:rPr>
          <w:rFonts w:hint="eastAsia"/>
        </w:rPr>
        <w:t>1、按询价通知书采购需求和说明，对本项目报价如《报价明细表》。</w:t>
      </w:r>
    </w:p>
    <w:p>
      <w:pPr>
        <w:pStyle w:val="2"/>
        <w:spacing w:line="480" w:lineRule="exact"/>
        <w:ind w:firstLine="420"/>
      </w:pPr>
      <w:r>
        <w:rPr>
          <w:rFonts w:hint="eastAsia"/>
        </w:rPr>
        <w:t>2、我方同意在规定的开标日期起遵循本响应文件，并在60日内均具有约束力，并有可能成交。</w:t>
      </w:r>
    </w:p>
    <w:p>
      <w:pPr>
        <w:pStyle w:val="2"/>
        <w:spacing w:line="480" w:lineRule="exact"/>
        <w:ind w:firstLine="420"/>
      </w:pPr>
      <w:r>
        <w:rPr>
          <w:rFonts w:hint="eastAsia"/>
        </w:rPr>
        <w:t>3、我方承诺已经具备《中华人民共和国政府采购法》中规定的参加政府采购活动的供应商应当具备的条件：</w:t>
      </w:r>
    </w:p>
    <w:p>
      <w:pPr>
        <w:pStyle w:val="2"/>
        <w:spacing w:line="480" w:lineRule="exact"/>
        <w:ind w:firstLine="420"/>
      </w:pPr>
      <w:r>
        <w:rPr>
          <w:rFonts w:hint="eastAsia"/>
        </w:rPr>
        <w:t>4、我方根据询价书的规定，承担完成合同的责任和义务。</w:t>
      </w:r>
    </w:p>
    <w:p>
      <w:pPr>
        <w:pStyle w:val="2"/>
        <w:spacing w:line="480" w:lineRule="exact"/>
        <w:ind w:firstLine="420"/>
      </w:pPr>
      <w:r>
        <w:rPr>
          <w:rFonts w:hint="eastAsia"/>
        </w:rPr>
        <w:t>5、我方已详细审核询价书，我方知道对提出含糊不清或误解问题须承担由此造成的责任。</w:t>
      </w:r>
    </w:p>
    <w:p>
      <w:pPr>
        <w:pStyle w:val="2"/>
        <w:spacing w:line="480" w:lineRule="exact"/>
        <w:ind w:firstLine="420"/>
      </w:pPr>
      <w:r>
        <w:rPr>
          <w:rFonts w:hint="eastAsia"/>
        </w:rPr>
        <w:t>6、同意向贵方提供贵方可能要求的与本项目有关的任何数据或资料。</w:t>
      </w:r>
    </w:p>
    <w:p>
      <w:pPr>
        <w:pStyle w:val="2"/>
        <w:spacing w:line="480" w:lineRule="exact"/>
        <w:ind w:firstLine="420"/>
      </w:pPr>
      <w:r>
        <w:rPr>
          <w:rFonts w:hint="eastAsia"/>
        </w:rPr>
        <w:t>7、若贵方需要，我方愿意提供我方作出的一切承诺的证明材料。</w:t>
      </w:r>
    </w:p>
    <w:p>
      <w:pPr>
        <w:pStyle w:val="2"/>
        <w:spacing w:line="480" w:lineRule="exact"/>
        <w:ind w:left="420"/>
      </w:pPr>
      <w:r>
        <w:rPr>
          <w:rFonts w:hint="eastAsia"/>
        </w:rPr>
        <w:t>8、我方将严格遵守《中华人民共和国政府采购法》第七十七条规定。</w:t>
      </w:r>
    </w:p>
    <w:p>
      <w:pPr>
        <w:pStyle w:val="2"/>
        <w:spacing w:line="480" w:lineRule="exact"/>
        <w:ind w:left="420"/>
        <w:rPr>
          <w:rFonts w:hAnsi="宋体"/>
        </w:rPr>
      </w:pPr>
      <w:r>
        <w:rPr>
          <w:rFonts w:hint="eastAsia" w:hAnsi="宋体"/>
        </w:rPr>
        <w:t>9、我方承诺本次报价所提供的所有资料真实有效。</w:t>
      </w:r>
    </w:p>
    <w:p>
      <w:pPr>
        <w:pStyle w:val="2"/>
        <w:spacing w:line="480" w:lineRule="exact"/>
        <w:ind w:firstLine="420"/>
      </w:pPr>
      <w:r>
        <w:rPr>
          <w:rFonts w:hint="eastAsia"/>
        </w:rPr>
        <w:t>与本报价有关的正式通讯地址为：</w:t>
      </w:r>
    </w:p>
    <w:p>
      <w:pPr>
        <w:pStyle w:val="2"/>
        <w:spacing w:line="480" w:lineRule="exact"/>
        <w:ind w:firstLine="420"/>
      </w:pPr>
      <w:r>
        <w:rPr>
          <w:rFonts w:hint="eastAsia"/>
        </w:rPr>
        <w:t>地址： 邮政编码：</w:t>
      </w:r>
    </w:p>
    <w:p>
      <w:pPr>
        <w:pStyle w:val="2"/>
        <w:spacing w:line="480" w:lineRule="exact"/>
        <w:ind w:firstLine="420"/>
        <w:rPr>
          <w:u w:val="single"/>
        </w:rPr>
      </w:pPr>
      <w:r>
        <w:rPr>
          <w:rFonts w:hint="eastAsia"/>
        </w:rPr>
        <w:t>电话、电报、传真或电传：</w:t>
      </w:r>
    </w:p>
    <w:p>
      <w:pPr>
        <w:pStyle w:val="2"/>
        <w:spacing w:line="480" w:lineRule="exact"/>
        <w:ind w:firstLine="420"/>
      </w:pPr>
      <w:r>
        <w:rPr>
          <w:rFonts w:hint="eastAsia"/>
        </w:rPr>
        <w:t>开户名称：</w:t>
      </w:r>
    </w:p>
    <w:p>
      <w:pPr>
        <w:pStyle w:val="2"/>
        <w:spacing w:line="480" w:lineRule="exact"/>
        <w:ind w:firstLine="420"/>
      </w:pPr>
      <w:r>
        <w:rPr>
          <w:rFonts w:hint="eastAsia"/>
        </w:rPr>
        <w:t>开户银行：</w:t>
      </w:r>
    </w:p>
    <w:p>
      <w:pPr>
        <w:pStyle w:val="2"/>
        <w:spacing w:line="480" w:lineRule="exact"/>
        <w:ind w:firstLine="420"/>
      </w:pPr>
      <w:r>
        <w:rPr>
          <w:rFonts w:hint="eastAsia"/>
        </w:rPr>
        <w:t>帐号：</w:t>
      </w:r>
    </w:p>
    <w:p>
      <w:pPr>
        <w:pStyle w:val="2"/>
        <w:spacing w:line="480" w:lineRule="exact"/>
        <w:ind w:firstLine="420"/>
      </w:pPr>
      <w:r>
        <w:rPr>
          <w:rFonts w:hint="eastAsia"/>
        </w:rPr>
        <w:t>法定代表人或委托代理人（被授权人）签名：</w:t>
      </w:r>
    </w:p>
    <w:p>
      <w:pPr>
        <w:pStyle w:val="2"/>
        <w:spacing w:line="480" w:lineRule="exact"/>
        <w:ind w:firstLine="420"/>
      </w:pPr>
      <w:r>
        <w:rPr>
          <w:rFonts w:hint="eastAsia"/>
        </w:rPr>
        <w:t>供应商盖公章：</w:t>
      </w:r>
    </w:p>
    <w:p>
      <w:pPr>
        <w:pStyle w:val="2"/>
        <w:spacing w:line="480" w:lineRule="exact"/>
        <w:ind w:firstLine="420" w:firstLineChars="200"/>
        <w:rPr>
          <w:u w:val="single"/>
        </w:rPr>
      </w:pPr>
      <w:r>
        <w:rPr>
          <w:rFonts w:hint="eastAsia"/>
        </w:rPr>
        <w:t>报价日期：</w:t>
      </w:r>
    </w:p>
    <w:p>
      <w:pPr>
        <w:pStyle w:val="2"/>
        <w:spacing w:line="480" w:lineRule="exact"/>
        <w:ind w:firstLine="420" w:firstLineChars="200"/>
        <w:rPr>
          <w:u w:val="single"/>
        </w:rPr>
      </w:pPr>
    </w:p>
    <w:p>
      <w:pPr>
        <w:rPr>
          <w:sz w:val="32"/>
          <w:szCs w:val="32"/>
        </w:rPr>
      </w:pPr>
      <w:r>
        <w:rPr>
          <w:rFonts w:hint="eastAsia"/>
          <w:b/>
          <w:bCs/>
          <w:szCs w:val="21"/>
        </w:rPr>
        <w:t>注：未按照本报价函要求内容填报的报价函将被视为非实质性响应报价，从而导致该报价被拒绝。</w:t>
      </w:r>
    </w:p>
    <w:p>
      <w:pPr>
        <w:rPr>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b/>
          <w:sz w:val="32"/>
          <w:szCs w:val="32"/>
        </w:rPr>
      </w:pPr>
      <w:r>
        <w:rPr>
          <w:rFonts w:hint="eastAsia"/>
          <w:b/>
          <w:sz w:val="32"/>
          <w:szCs w:val="32"/>
        </w:rPr>
        <w:t>2. 报价明细表（住宿酒店）</w:t>
      </w:r>
    </w:p>
    <w:p>
      <w:pPr>
        <w:pStyle w:val="2"/>
        <w:spacing w:line="400" w:lineRule="exact"/>
        <w:ind w:firstLine="529" w:firstLineChars="252"/>
        <w:rPr>
          <w:rFonts w:hAnsi="宋体"/>
          <w:szCs w:val="21"/>
          <w:u w:val="single"/>
        </w:rPr>
      </w:pPr>
      <w:r>
        <w:rPr>
          <w:rFonts w:hint="eastAsia" w:hAnsi="宋体"/>
          <w:szCs w:val="21"/>
        </w:rPr>
        <w:t>项目名称:</w:t>
      </w:r>
      <w:r>
        <w:rPr>
          <w:rFonts w:hint="eastAsia"/>
          <w:u w:val="single"/>
        </w:rPr>
        <w:t>南宁师范大学市内用车定点租赁和住宿酒店定点服务单位遴选询价</w:t>
      </w:r>
    </w:p>
    <w:p>
      <w:pPr>
        <w:pStyle w:val="2"/>
        <w:spacing w:line="400" w:lineRule="exact"/>
        <w:ind w:firstLine="531" w:firstLineChars="252"/>
        <w:rPr>
          <w:rFonts w:hAnsi="宋体"/>
          <w:b/>
          <w:bCs/>
          <w:szCs w:val="21"/>
          <w:u w:val="single"/>
        </w:rPr>
      </w:pPr>
      <w:r>
        <w:rPr>
          <w:rFonts w:hint="eastAsia" w:hAnsi="宋体"/>
          <w:b/>
          <w:bCs/>
          <w:szCs w:val="21"/>
          <w:u w:val="single"/>
        </w:rPr>
        <w:t>（1）客房报价</w:t>
      </w:r>
    </w:p>
    <w:tbl>
      <w:tblPr>
        <w:tblStyle w:val="6"/>
        <w:tblW w:w="8283"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51"/>
        <w:gridCol w:w="1181"/>
        <w:gridCol w:w="1843"/>
        <w:gridCol w:w="2920"/>
        <w:gridCol w:w="168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651" w:type="dxa"/>
            <w:vAlign w:val="center"/>
          </w:tcPr>
          <w:p>
            <w:pPr>
              <w:jc w:val="center"/>
              <w:rPr>
                <w:b/>
                <w:bCs/>
              </w:rPr>
            </w:pPr>
            <w:r>
              <w:rPr>
                <w:rFonts w:hint="eastAsia"/>
                <w:b/>
                <w:bCs/>
              </w:rPr>
              <w:t>序号</w:t>
            </w:r>
          </w:p>
        </w:tc>
        <w:tc>
          <w:tcPr>
            <w:tcW w:w="1181" w:type="dxa"/>
            <w:tcBorders>
              <w:right w:val="single" w:color="auto" w:sz="4" w:space="0"/>
            </w:tcBorders>
            <w:vAlign w:val="center"/>
          </w:tcPr>
          <w:p>
            <w:pPr>
              <w:jc w:val="center"/>
              <w:rPr>
                <w:b/>
                <w:bCs/>
              </w:rPr>
            </w:pPr>
            <w:r>
              <w:rPr>
                <w:rFonts w:hint="eastAsia"/>
                <w:b/>
                <w:bCs/>
              </w:rPr>
              <w:t>酒店星级</w:t>
            </w:r>
          </w:p>
        </w:tc>
        <w:tc>
          <w:tcPr>
            <w:tcW w:w="1843" w:type="dxa"/>
            <w:tcBorders>
              <w:left w:val="single" w:color="auto" w:sz="4" w:space="0"/>
            </w:tcBorders>
            <w:vAlign w:val="center"/>
          </w:tcPr>
          <w:p>
            <w:pPr>
              <w:jc w:val="center"/>
              <w:rPr>
                <w:b/>
                <w:bCs/>
              </w:rPr>
            </w:pPr>
            <w:r>
              <w:rPr>
                <w:rFonts w:hint="eastAsia"/>
                <w:b/>
                <w:bCs/>
              </w:rPr>
              <w:t>客房类型</w:t>
            </w:r>
          </w:p>
        </w:tc>
        <w:tc>
          <w:tcPr>
            <w:tcW w:w="2920" w:type="dxa"/>
            <w:vAlign w:val="center"/>
          </w:tcPr>
          <w:p>
            <w:pPr>
              <w:jc w:val="center"/>
              <w:rPr>
                <w:b/>
                <w:bCs/>
              </w:rPr>
            </w:pPr>
            <w:r>
              <w:rPr>
                <w:rFonts w:hint="eastAsia"/>
                <w:b/>
                <w:bCs/>
              </w:rPr>
              <w:t>报价（元/天/人）</w:t>
            </w:r>
          </w:p>
        </w:tc>
        <w:tc>
          <w:tcPr>
            <w:tcW w:w="1688" w:type="dxa"/>
            <w:vAlign w:val="center"/>
          </w:tcPr>
          <w:p>
            <w:pPr>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27" w:hRule="atLeast"/>
          <w:jc w:val="center"/>
        </w:trPr>
        <w:tc>
          <w:tcPr>
            <w:tcW w:w="651" w:type="dxa"/>
            <w:vAlign w:val="center"/>
          </w:tcPr>
          <w:p>
            <w:pPr>
              <w:jc w:val="center"/>
              <w:rPr>
                <w:b/>
                <w:bCs/>
              </w:rPr>
            </w:pPr>
            <w:r>
              <w:rPr>
                <w:rFonts w:hint="eastAsia"/>
                <w:b/>
                <w:bCs/>
              </w:rPr>
              <w:t>1</w:t>
            </w:r>
          </w:p>
        </w:tc>
        <w:tc>
          <w:tcPr>
            <w:tcW w:w="1181" w:type="dxa"/>
            <w:tcBorders>
              <w:right w:val="single" w:color="auto" w:sz="4" w:space="0"/>
            </w:tcBorders>
            <w:vAlign w:val="center"/>
          </w:tcPr>
          <w:p>
            <w:pPr>
              <w:rPr>
                <w:b/>
                <w:bCs/>
              </w:rPr>
            </w:pPr>
          </w:p>
        </w:tc>
        <w:tc>
          <w:tcPr>
            <w:tcW w:w="1843" w:type="dxa"/>
            <w:tcBorders>
              <w:left w:val="single" w:color="auto" w:sz="4" w:space="0"/>
            </w:tcBorders>
            <w:vAlign w:val="center"/>
          </w:tcPr>
          <w:p>
            <w:pPr>
              <w:rPr>
                <w:b/>
                <w:bCs/>
              </w:rPr>
            </w:pPr>
            <w:r>
              <w:rPr>
                <w:rFonts w:hint="eastAsia"/>
                <w:b/>
                <w:bCs/>
              </w:rPr>
              <w:t>标准双人间</w:t>
            </w:r>
          </w:p>
        </w:tc>
        <w:tc>
          <w:tcPr>
            <w:tcW w:w="2920" w:type="dxa"/>
            <w:vAlign w:val="center"/>
          </w:tcPr>
          <w:p>
            <w:pPr>
              <w:rPr>
                <w:b/>
                <w:bCs/>
              </w:rPr>
            </w:pPr>
          </w:p>
        </w:tc>
        <w:tc>
          <w:tcPr>
            <w:tcW w:w="1688" w:type="dxa"/>
            <w:vMerge w:val="restart"/>
            <w:vAlign w:val="center"/>
          </w:tcPr>
          <w:p>
            <w:pPr>
              <w:rPr>
                <w:b/>
                <w:bCs/>
              </w:rPr>
            </w:pPr>
            <w:r>
              <w:rPr>
                <w:rFonts w:hint="eastAsia"/>
                <w:b/>
                <w:bCs/>
              </w:rPr>
              <w:t>含早餐，退房时间为退房日期14：00之前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651" w:type="dxa"/>
            <w:vAlign w:val="center"/>
          </w:tcPr>
          <w:p>
            <w:pPr>
              <w:jc w:val="center"/>
              <w:rPr>
                <w:b/>
                <w:bCs/>
              </w:rPr>
            </w:pPr>
            <w:r>
              <w:rPr>
                <w:rFonts w:hint="eastAsia"/>
                <w:b/>
                <w:bCs/>
              </w:rPr>
              <w:t>2</w:t>
            </w:r>
          </w:p>
        </w:tc>
        <w:tc>
          <w:tcPr>
            <w:tcW w:w="1181" w:type="dxa"/>
            <w:tcBorders>
              <w:right w:val="single" w:color="auto" w:sz="4" w:space="0"/>
            </w:tcBorders>
            <w:vAlign w:val="center"/>
          </w:tcPr>
          <w:p>
            <w:pPr>
              <w:rPr>
                <w:b/>
                <w:bCs/>
              </w:rPr>
            </w:pPr>
          </w:p>
        </w:tc>
        <w:tc>
          <w:tcPr>
            <w:tcW w:w="1843" w:type="dxa"/>
            <w:tcBorders>
              <w:left w:val="single" w:color="auto" w:sz="4" w:space="0"/>
            </w:tcBorders>
            <w:vAlign w:val="center"/>
          </w:tcPr>
          <w:p>
            <w:pPr>
              <w:rPr>
                <w:b/>
                <w:bCs/>
              </w:rPr>
            </w:pPr>
            <w:r>
              <w:rPr>
                <w:rFonts w:hint="eastAsia"/>
                <w:b/>
                <w:bCs/>
              </w:rPr>
              <w:t>标准单人间</w:t>
            </w:r>
          </w:p>
        </w:tc>
        <w:tc>
          <w:tcPr>
            <w:tcW w:w="2920" w:type="dxa"/>
            <w:vAlign w:val="center"/>
          </w:tcPr>
          <w:p>
            <w:pPr>
              <w:rPr>
                <w:b/>
                <w:bCs/>
              </w:rPr>
            </w:pPr>
          </w:p>
        </w:tc>
        <w:tc>
          <w:tcPr>
            <w:tcW w:w="1688" w:type="dxa"/>
            <w:vMerge w:val="continue"/>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651" w:type="dxa"/>
            <w:vAlign w:val="center"/>
          </w:tcPr>
          <w:p>
            <w:pPr>
              <w:jc w:val="center"/>
              <w:rPr>
                <w:b/>
                <w:bCs/>
              </w:rPr>
            </w:pPr>
            <w:r>
              <w:rPr>
                <w:rFonts w:hint="eastAsia"/>
                <w:b/>
                <w:bCs/>
              </w:rPr>
              <w:t>3</w:t>
            </w:r>
          </w:p>
        </w:tc>
        <w:tc>
          <w:tcPr>
            <w:tcW w:w="1181" w:type="dxa"/>
            <w:tcBorders>
              <w:right w:val="single" w:color="auto" w:sz="4" w:space="0"/>
            </w:tcBorders>
            <w:vAlign w:val="center"/>
          </w:tcPr>
          <w:p>
            <w:pPr>
              <w:rPr>
                <w:b/>
                <w:bCs/>
              </w:rPr>
            </w:pPr>
          </w:p>
        </w:tc>
        <w:tc>
          <w:tcPr>
            <w:tcW w:w="1843" w:type="dxa"/>
            <w:tcBorders>
              <w:left w:val="single" w:color="auto" w:sz="4" w:space="0"/>
            </w:tcBorders>
            <w:vAlign w:val="center"/>
          </w:tcPr>
          <w:p>
            <w:pPr>
              <w:rPr>
                <w:b/>
                <w:bCs/>
              </w:rPr>
            </w:pPr>
          </w:p>
        </w:tc>
        <w:tc>
          <w:tcPr>
            <w:tcW w:w="2920" w:type="dxa"/>
            <w:vAlign w:val="center"/>
          </w:tcPr>
          <w:p>
            <w:pPr>
              <w:rPr>
                <w:b/>
                <w:bCs/>
              </w:rPr>
            </w:pPr>
          </w:p>
        </w:tc>
        <w:tc>
          <w:tcPr>
            <w:tcW w:w="1688" w:type="dxa"/>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651" w:type="dxa"/>
            <w:vAlign w:val="center"/>
          </w:tcPr>
          <w:p>
            <w:pPr>
              <w:jc w:val="center"/>
              <w:rPr>
                <w:b/>
                <w:bCs/>
              </w:rPr>
            </w:pPr>
            <w:r>
              <w:rPr>
                <w:rFonts w:hint="eastAsia"/>
                <w:b/>
                <w:bCs/>
              </w:rPr>
              <w:t>…</w:t>
            </w:r>
          </w:p>
        </w:tc>
        <w:tc>
          <w:tcPr>
            <w:tcW w:w="1181" w:type="dxa"/>
            <w:tcBorders>
              <w:right w:val="single" w:color="auto" w:sz="4" w:space="0"/>
            </w:tcBorders>
            <w:vAlign w:val="center"/>
          </w:tcPr>
          <w:p>
            <w:pPr>
              <w:rPr>
                <w:b/>
                <w:bCs/>
              </w:rPr>
            </w:pPr>
          </w:p>
        </w:tc>
        <w:tc>
          <w:tcPr>
            <w:tcW w:w="1843" w:type="dxa"/>
            <w:tcBorders>
              <w:left w:val="single" w:color="auto" w:sz="4" w:space="0"/>
            </w:tcBorders>
            <w:vAlign w:val="center"/>
          </w:tcPr>
          <w:p>
            <w:pPr>
              <w:rPr>
                <w:b/>
                <w:bCs/>
              </w:rPr>
            </w:pPr>
          </w:p>
        </w:tc>
        <w:tc>
          <w:tcPr>
            <w:tcW w:w="2920" w:type="dxa"/>
            <w:vAlign w:val="center"/>
          </w:tcPr>
          <w:p>
            <w:pPr>
              <w:rPr>
                <w:b/>
                <w:bCs/>
              </w:rPr>
            </w:pPr>
          </w:p>
        </w:tc>
        <w:tc>
          <w:tcPr>
            <w:tcW w:w="1688" w:type="dxa"/>
            <w:vAlign w:val="center"/>
          </w:tcPr>
          <w:p>
            <w:pPr>
              <w:rPr>
                <w:b/>
                <w:bCs/>
              </w:rPr>
            </w:pPr>
          </w:p>
        </w:tc>
      </w:tr>
    </w:tbl>
    <w:p>
      <w:pPr>
        <w:spacing w:line="500" w:lineRule="exact"/>
        <w:ind w:firstLine="632" w:firstLineChars="300"/>
        <w:rPr>
          <w:rFonts w:ascii="宋体" w:hAnsi="宋体"/>
          <w:b/>
          <w:bCs/>
          <w:szCs w:val="21"/>
        </w:rPr>
      </w:pPr>
    </w:p>
    <w:p>
      <w:pPr>
        <w:spacing w:line="500" w:lineRule="exact"/>
        <w:ind w:firstLine="632" w:firstLineChars="300"/>
        <w:rPr>
          <w:b/>
          <w:bCs/>
        </w:rPr>
      </w:pPr>
      <w:r>
        <w:rPr>
          <w:rFonts w:hint="eastAsia" w:ascii="宋体" w:hAnsi="宋体"/>
          <w:b/>
          <w:bCs/>
          <w:szCs w:val="21"/>
        </w:rPr>
        <w:t>（2）会议室场地租用报价</w:t>
      </w:r>
    </w:p>
    <w:tbl>
      <w:tblPr>
        <w:tblStyle w:val="6"/>
        <w:tblW w:w="8283"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51"/>
        <w:gridCol w:w="3013"/>
        <w:gridCol w:w="2360"/>
        <w:gridCol w:w="22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651" w:type="dxa"/>
            <w:vAlign w:val="center"/>
          </w:tcPr>
          <w:p>
            <w:pPr>
              <w:jc w:val="center"/>
              <w:rPr>
                <w:b/>
                <w:bCs/>
              </w:rPr>
            </w:pPr>
            <w:r>
              <w:rPr>
                <w:rFonts w:hint="eastAsia"/>
                <w:b/>
                <w:bCs/>
              </w:rPr>
              <w:t>序号</w:t>
            </w:r>
          </w:p>
        </w:tc>
        <w:tc>
          <w:tcPr>
            <w:tcW w:w="3013" w:type="dxa"/>
            <w:vAlign w:val="center"/>
          </w:tcPr>
          <w:p>
            <w:pPr>
              <w:jc w:val="center"/>
              <w:rPr>
                <w:b/>
                <w:bCs/>
              </w:rPr>
            </w:pPr>
            <w:r>
              <w:rPr>
                <w:rFonts w:hint="eastAsia"/>
                <w:b/>
                <w:bCs/>
              </w:rPr>
              <w:t>会议室</w:t>
            </w:r>
          </w:p>
        </w:tc>
        <w:tc>
          <w:tcPr>
            <w:tcW w:w="2360" w:type="dxa"/>
            <w:vAlign w:val="center"/>
          </w:tcPr>
          <w:p>
            <w:pPr>
              <w:jc w:val="center"/>
              <w:rPr>
                <w:b/>
                <w:bCs/>
              </w:rPr>
            </w:pPr>
            <w:r>
              <w:rPr>
                <w:rFonts w:hint="eastAsia"/>
                <w:b/>
                <w:bCs/>
              </w:rPr>
              <w:t>报价（元/天）</w:t>
            </w:r>
          </w:p>
        </w:tc>
        <w:tc>
          <w:tcPr>
            <w:tcW w:w="2259" w:type="dxa"/>
            <w:vAlign w:val="center"/>
          </w:tcPr>
          <w:p>
            <w:pPr>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200" w:hRule="atLeast"/>
          <w:jc w:val="center"/>
        </w:trPr>
        <w:tc>
          <w:tcPr>
            <w:tcW w:w="651" w:type="dxa"/>
            <w:vAlign w:val="center"/>
          </w:tcPr>
          <w:p>
            <w:pPr>
              <w:jc w:val="center"/>
              <w:rPr>
                <w:b/>
                <w:bCs/>
              </w:rPr>
            </w:pPr>
            <w:r>
              <w:rPr>
                <w:rFonts w:hint="eastAsia"/>
                <w:b/>
                <w:bCs/>
              </w:rPr>
              <w:t>1</w:t>
            </w:r>
          </w:p>
        </w:tc>
        <w:tc>
          <w:tcPr>
            <w:tcW w:w="3013" w:type="dxa"/>
            <w:vAlign w:val="center"/>
          </w:tcPr>
          <w:p>
            <w:pPr>
              <w:rPr>
                <w:b/>
                <w:bCs/>
              </w:rPr>
            </w:pPr>
            <w:r>
              <w:rPr>
                <w:rFonts w:hint="eastAsia"/>
                <w:b/>
                <w:bCs/>
              </w:rPr>
              <w:t>培训会议室（课桌式，容纳50人左右）</w:t>
            </w:r>
          </w:p>
        </w:tc>
        <w:tc>
          <w:tcPr>
            <w:tcW w:w="2360" w:type="dxa"/>
            <w:vAlign w:val="center"/>
          </w:tcPr>
          <w:p>
            <w:pPr>
              <w:rPr>
                <w:b/>
                <w:bCs/>
              </w:rPr>
            </w:pPr>
          </w:p>
        </w:tc>
        <w:tc>
          <w:tcPr>
            <w:tcW w:w="2259" w:type="dxa"/>
            <w:vMerge w:val="restart"/>
            <w:vAlign w:val="center"/>
          </w:tcPr>
          <w:p>
            <w:pPr>
              <w:rPr>
                <w:b/>
                <w:bCs/>
              </w:rPr>
            </w:pPr>
            <w:r>
              <w:rPr>
                <w:rFonts w:hint="eastAsia"/>
                <w:b/>
                <w:bCs/>
              </w:rPr>
              <w:t>场地租金报价包含场地使用所需设施设备的所有费用（投影仪、幕布、音响、台卡、茶水、横幅、欢迎水牌等，含税）。使用1-4小时算半天，5-8小算一天。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651" w:type="dxa"/>
            <w:vAlign w:val="center"/>
          </w:tcPr>
          <w:p>
            <w:pPr>
              <w:jc w:val="center"/>
              <w:rPr>
                <w:b/>
                <w:bCs/>
              </w:rPr>
            </w:pPr>
            <w:r>
              <w:rPr>
                <w:rFonts w:hint="eastAsia"/>
                <w:b/>
                <w:bCs/>
              </w:rPr>
              <w:t>2</w:t>
            </w:r>
          </w:p>
        </w:tc>
        <w:tc>
          <w:tcPr>
            <w:tcW w:w="3013" w:type="dxa"/>
            <w:vAlign w:val="center"/>
          </w:tcPr>
          <w:p>
            <w:pPr>
              <w:rPr>
                <w:b/>
                <w:bCs/>
              </w:rPr>
            </w:pPr>
            <w:r>
              <w:rPr>
                <w:rFonts w:hint="eastAsia"/>
                <w:b/>
                <w:bCs/>
              </w:rPr>
              <w:t>培训会议室（课桌式，容纳100人左右）</w:t>
            </w:r>
          </w:p>
        </w:tc>
        <w:tc>
          <w:tcPr>
            <w:tcW w:w="2360" w:type="dxa"/>
            <w:vAlign w:val="center"/>
          </w:tcPr>
          <w:p>
            <w:pPr>
              <w:rPr>
                <w:b/>
                <w:bCs/>
              </w:rPr>
            </w:pPr>
          </w:p>
        </w:tc>
        <w:tc>
          <w:tcPr>
            <w:tcW w:w="2259" w:type="dxa"/>
            <w:vMerge w:val="continue"/>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651" w:type="dxa"/>
            <w:vAlign w:val="center"/>
          </w:tcPr>
          <w:p>
            <w:pPr>
              <w:jc w:val="center"/>
              <w:rPr>
                <w:b/>
                <w:bCs/>
              </w:rPr>
            </w:pPr>
            <w:r>
              <w:rPr>
                <w:rFonts w:hint="eastAsia"/>
                <w:b/>
                <w:bCs/>
              </w:rPr>
              <w:t>3</w:t>
            </w:r>
          </w:p>
        </w:tc>
        <w:tc>
          <w:tcPr>
            <w:tcW w:w="3013" w:type="dxa"/>
            <w:vAlign w:val="center"/>
          </w:tcPr>
          <w:p>
            <w:pPr>
              <w:rPr>
                <w:b/>
                <w:bCs/>
              </w:rPr>
            </w:pPr>
            <w:r>
              <w:rPr>
                <w:rFonts w:hint="eastAsia"/>
                <w:b/>
                <w:bCs/>
              </w:rPr>
              <w:t>培训会议室（课桌式，容纳150人左右）</w:t>
            </w:r>
          </w:p>
        </w:tc>
        <w:tc>
          <w:tcPr>
            <w:tcW w:w="2360" w:type="dxa"/>
            <w:vAlign w:val="center"/>
          </w:tcPr>
          <w:p>
            <w:pPr>
              <w:rPr>
                <w:b/>
                <w:bCs/>
              </w:rPr>
            </w:pPr>
          </w:p>
        </w:tc>
        <w:tc>
          <w:tcPr>
            <w:tcW w:w="2259" w:type="dxa"/>
            <w:vMerge w:val="continue"/>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651" w:type="dxa"/>
            <w:vAlign w:val="center"/>
          </w:tcPr>
          <w:p>
            <w:pPr>
              <w:jc w:val="center"/>
              <w:rPr>
                <w:b/>
                <w:bCs/>
              </w:rPr>
            </w:pPr>
            <w:r>
              <w:rPr>
                <w:rFonts w:hint="eastAsia"/>
                <w:b/>
                <w:bCs/>
              </w:rPr>
              <w:t>…</w:t>
            </w:r>
          </w:p>
        </w:tc>
        <w:tc>
          <w:tcPr>
            <w:tcW w:w="3013" w:type="dxa"/>
            <w:vAlign w:val="center"/>
          </w:tcPr>
          <w:p>
            <w:pPr>
              <w:rPr>
                <w:b/>
                <w:bCs/>
              </w:rPr>
            </w:pPr>
          </w:p>
        </w:tc>
        <w:tc>
          <w:tcPr>
            <w:tcW w:w="2360" w:type="dxa"/>
            <w:vAlign w:val="center"/>
          </w:tcPr>
          <w:p>
            <w:pPr>
              <w:rPr>
                <w:b/>
                <w:bCs/>
              </w:rPr>
            </w:pPr>
          </w:p>
        </w:tc>
        <w:tc>
          <w:tcPr>
            <w:tcW w:w="2259" w:type="dxa"/>
            <w:vAlign w:val="center"/>
          </w:tcPr>
          <w:p>
            <w:pPr>
              <w:rPr>
                <w:b/>
                <w:bCs/>
              </w:rPr>
            </w:pPr>
          </w:p>
        </w:tc>
      </w:tr>
    </w:tbl>
    <w:p>
      <w:pPr>
        <w:spacing w:line="500" w:lineRule="exact"/>
        <w:ind w:firstLine="630" w:firstLineChars="300"/>
      </w:pPr>
      <w:r>
        <w:rPr>
          <w:rFonts w:hint="eastAsia" w:ascii="宋体" w:hAnsi="宋体"/>
          <w:szCs w:val="21"/>
        </w:rPr>
        <w:t>说明：投标人根据自身现有客房及场地进行报价</w:t>
      </w:r>
      <w:r>
        <w:rPr>
          <w:rFonts w:hint="eastAsia"/>
        </w:rPr>
        <w:t>。酒店星级按三星级以下和三星级两档报价。</w:t>
      </w:r>
    </w:p>
    <w:p>
      <w:pPr>
        <w:pStyle w:val="2"/>
        <w:spacing w:line="600" w:lineRule="exact"/>
      </w:pPr>
    </w:p>
    <w:p>
      <w:pPr>
        <w:pStyle w:val="2"/>
        <w:spacing w:line="600" w:lineRule="exact"/>
      </w:pPr>
    </w:p>
    <w:p>
      <w:pPr>
        <w:pStyle w:val="2"/>
        <w:spacing w:line="600" w:lineRule="exact"/>
      </w:pPr>
    </w:p>
    <w:p>
      <w:pPr>
        <w:pStyle w:val="2"/>
        <w:ind w:firstLine="315" w:firstLineChars="150"/>
        <w:rPr>
          <w:u w:val="single"/>
        </w:rPr>
      </w:pPr>
      <w:r>
        <w:rPr>
          <w:rFonts w:hint="eastAsia"/>
        </w:rPr>
        <w:t>供应商盖公章：</w:t>
      </w:r>
    </w:p>
    <w:p>
      <w:pPr>
        <w:pStyle w:val="2"/>
      </w:pPr>
    </w:p>
    <w:p>
      <w:pPr>
        <w:pStyle w:val="2"/>
        <w:ind w:firstLine="315" w:firstLineChars="150"/>
        <w:rPr>
          <w:u w:val="single"/>
        </w:rPr>
      </w:pPr>
      <w:r>
        <w:rPr>
          <w:rFonts w:hint="eastAsia"/>
        </w:rPr>
        <w:t>法定代表人或委托代理人签字：</w:t>
      </w:r>
    </w:p>
    <w:p>
      <w:pPr>
        <w:pStyle w:val="2"/>
      </w:pPr>
    </w:p>
    <w:p>
      <w:pPr>
        <w:rPr>
          <w:sz w:val="32"/>
          <w:szCs w:val="32"/>
        </w:rPr>
      </w:pPr>
      <w:r>
        <w:rPr>
          <w:rFonts w:hint="eastAsia"/>
          <w:sz w:val="32"/>
          <w:szCs w:val="32"/>
        </w:rPr>
        <w:br w:type="page"/>
      </w:r>
    </w:p>
    <w:p>
      <w:pPr>
        <w:pStyle w:val="2"/>
        <w:jc w:val="center"/>
        <w:rPr>
          <w:b/>
          <w:bCs/>
        </w:rPr>
      </w:pPr>
      <w:r>
        <w:rPr>
          <w:rFonts w:hint="eastAsia"/>
          <w:b/>
          <w:bCs/>
          <w:sz w:val="32"/>
          <w:szCs w:val="32"/>
        </w:rPr>
        <w:t>（3）服务承诺及服务技术</w:t>
      </w:r>
      <w:r>
        <w:rPr>
          <w:b/>
          <w:bCs/>
          <w:sz w:val="32"/>
          <w:szCs w:val="32"/>
        </w:rPr>
        <w:t>方案</w:t>
      </w:r>
    </w:p>
    <w:p>
      <w:pPr>
        <w:pStyle w:val="2"/>
        <w:jc w:val="center"/>
      </w:pPr>
      <w:r>
        <w:rPr>
          <w:rFonts w:hint="eastAsia" w:hAnsi="宋体"/>
        </w:rPr>
        <w:t>(由供应商按</w:t>
      </w:r>
      <w:r>
        <w:rPr>
          <w:rFonts w:hAnsi="宋体"/>
        </w:rPr>
        <w:t>采购需求</w:t>
      </w:r>
      <w:r>
        <w:rPr>
          <w:rFonts w:hint="eastAsia" w:hAnsi="宋体"/>
        </w:rPr>
        <w:t>中的服务及要求自行拟定填写)</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ind w:firstLine="2658" w:firstLineChars="1266"/>
        <w:rPr>
          <w:u w:val="single"/>
        </w:rPr>
      </w:pPr>
      <w:r>
        <w:rPr>
          <w:rFonts w:hint="eastAsia"/>
        </w:rPr>
        <w:t>供应商盖公章：</w:t>
      </w:r>
    </w:p>
    <w:p>
      <w:pPr>
        <w:pStyle w:val="2"/>
      </w:pPr>
    </w:p>
    <w:p>
      <w:pPr>
        <w:pStyle w:val="2"/>
        <w:ind w:firstLine="2520" w:firstLineChars="1200"/>
      </w:pPr>
      <w:r>
        <w:rPr>
          <w:rFonts w:hint="eastAsia"/>
        </w:rPr>
        <w:t>法定代表人或委托代理人签字：</w:t>
      </w:r>
    </w:p>
    <w:p>
      <w:pPr>
        <w:rPr>
          <w:sz w:val="32"/>
          <w:szCs w:val="32"/>
        </w:rPr>
      </w:pPr>
      <w:r>
        <w:br w:type="page"/>
      </w:r>
    </w:p>
    <w:p>
      <w:pPr>
        <w:rPr>
          <w:b/>
          <w:bCs/>
          <w:sz w:val="32"/>
          <w:szCs w:val="32"/>
        </w:rPr>
      </w:pPr>
      <w:r>
        <w:rPr>
          <w:rFonts w:hint="eastAsia"/>
          <w:b/>
          <w:bCs/>
          <w:sz w:val="32"/>
          <w:szCs w:val="32"/>
        </w:rPr>
        <w:t>（4）其他（合同参考格式）</w:t>
      </w:r>
    </w:p>
    <w:p>
      <w:pPr>
        <w:rPr>
          <w:sz w:val="32"/>
          <w:szCs w:val="32"/>
        </w:rPr>
      </w:pPr>
    </w:p>
    <w:p>
      <w:pPr>
        <w:rPr>
          <w:sz w:val="32"/>
          <w:szCs w:val="32"/>
        </w:rPr>
      </w:pPr>
      <w:r>
        <w:rPr>
          <w:sz w:val="32"/>
          <w:szCs w:val="32"/>
        </w:rPr>
        <w:br w:type="page"/>
      </w:r>
    </w:p>
    <w:p>
      <w:pPr>
        <w:pageBreakBefore/>
        <w:spacing w:line="300" w:lineRule="auto"/>
        <w:ind w:left="420" w:hanging="420"/>
        <w:jc w:val="center"/>
        <w:rPr>
          <w:rFonts w:ascii="黑体" w:hAnsi="宋体" w:eastAsia="黑体"/>
          <w:b/>
          <w:kern w:val="0"/>
          <w:sz w:val="32"/>
          <w:szCs w:val="32"/>
        </w:rPr>
      </w:pPr>
      <w:r>
        <w:rPr>
          <w:rFonts w:hint="eastAsia" w:ascii="黑体" w:hAnsi="宋体" w:eastAsia="黑体"/>
          <w:b/>
          <w:kern w:val="0"/>
          <w:sz w:val="32"/>
          <w:szCs w:val="32"/>
        </w:rPr>
        <w:t>定点服务合作协议（住宿酒店）（格式一）</w:t>
      </w:r>
    </w:p>
    <w:p>
      <w:pPr>
        <w:spacing w:line="560" w:lineRule="exact"/>
        <w:rPr>
          <w:rFonts w:ascii="仿宋_GB2312" w:hAnsi="仿宋_GB2312" w:eastAsia="仿宋_GB2312" w:cs="仿宋_GB2312"/>
          <w:sz w:val="32"/>
          <w:szCs w:val="32"/>
        </w:rPr>
      </w:pP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甲方：</w:t>
      </w:r>
      <w:r>
        <w:rPr>
          <w:rFonts w:hint="eastAsia" w:ascii="仿宋_GB2312" w:hAnsi="仿宋_GB2312" w:eastAsia="仿宋_GB2312" w:cs="仿宋_GB2312"/>
          <w:b/>
          <w:bCs/>
          <w:sz w:val="32"/>
          <w:szCs w:val="32"/>
        </w:rPr>
        <w:t>南宁师范大学</w:t>
      </w:r>
      <w:r>
        <w:rPr>
          <w:rFonts w:hint="eastAsia" w:ascii="仿宋_GB2312" w:hAnsi="仿宋_GB2312" w:eastAsia="仿宋_GB2312" w:cs="仿宋_GB2312"/>
          <w:sz w:val="32"/>
          <w:szCs w:val="32"/>
        </w:rPr>
        <w:t>（以下简称甲方）</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乙方：（以下简称乙方）</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甲方根据工作需要，借用乙方场地开展各类培训活动，本着平等、互惠、互利的原则，经友好协商，签订本协议。</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一、住宿用房</w:t>
      </w:r>
    </w:p>
    <w:tbl>
      <w:tblPr>
        <w:tblStyle w:val="7"/>
        <w:tblW w:w="7716" w:type="dxa"/>
        <w:jc w:val="center"/>
        <w:tblInd w:w="-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2"/>
        <w:gridCol w:w="2878"/>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12" w:type="dxa"/>
            <w:noWrap/>
          </w:tcPr>
          <w:p>
            <w:pPr>
              <w:pStyle w:val="11"/>
              <w:spacing w:line="560" w:lineRule="exact"/>
              <w:ind w:firstLine="0" w:firstLineChars="0"/>
              <w:jc w:val="center"/>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房型</w:t>
            </w:r>
          </w:p>
        </w:tc>
        <w:tc>
          <w:tcPr>
            <w:tcW w:w="2878" w:type="dxa"/>
            <w:noWrap/>
          </w:tcPr>
          <w:p>
            <w:pPr>
              <w:pStyle w:val="11"/>
              <w:spacing w:line="560" w:lineRule="exact"/>
              <w:ind w:firstLine="0" w:firstLineChars="0"/>
              <w:jc w:val="center"/>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协议价（元/房晚）</w:t>
            </w:r>
          </w:p>
        </w:tc>
        <w:tc>
          <w:tcPr>
            <w:tcW w:w="2126" w:type="dxa"/>
            <w:noWrap/>
          </w:tcPr>
          <w:p>
            <w:pPr>
              <w:pStyle w:val="11"/>
              <w:spacing w:line="560" w:lineRule="exact"/>
              <w:ind w:firstLine="0" w:firstLineChars="0"/>
              <w:jc w:val="center"/>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12" w:type="dxa"/>
            <w:noWrap/>
          </w:tcPr>
          <w:p>
            <w:pPr>
              <w:pStyle w:val="11"/>
              <w:spacing w:line="560" w:lineRule="exact"/>
              <w:ind w:firstLine="0" w:firstLineChars="0"/>
              <w:jc w:val="center"/>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双人间</w:t>
            </w:r>
          </w:p>
        </w:tc>
        <w:tc>
          <w:tcPr>
            <w:tcW w:w="2878" w:type="dxa"/>
            <w:noWrap/>
          </w:tcPr>
          <w:p>
            <w:pPr>
              <w:pStyle w:val="11"/>
              <w:spacing w:line="560" w:lineRule="exact"/>
              <w:ind w:firstLine="0" w:firstLineChars="0"/>
              <w:jc w:val="center"/>
              <w:rPr>
                <w:rFonts w:ascii="仿宋_GB2312" w:hAnsi="仿宋_GB2312" w:eastAsia="仿宋_GB2312" w:cs="仿宋_GB2312"/>
                <w:bCs/>
                <w:sz w:val="28"/>
                <w:szCs w:val="28"/>
              </w:rPr>
            </w:pPr>
          </w:p>
        </w:tc>
        <w:tc>
          <w:tcPr>
            <w:tcW w:w="2126" w:type="dxa"/>
            <w:vMerge w:val="restart"/>
            <w:noWrap/>
            <w:vAlign w:val="center"/>
          </w:tcPr>
          <w:p>
            <w:pPr>
              <w:pStyle w:val="11"/>
              <w:spacing w:line="560" w:lineRule="exact"/>
              <w:ind w:firstLine="0" w:firstLineChars="0"/>
              <w:jc w:val="center"/>
              <w:rPr>
                <w:rFonts w:ascii="仿宋_GB2312" w:hAnsi="仿宋_GB2312" w:eastAsia="仿宋_GB2312" w:cs="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12" w:type="dxa"/>
            <w:noWrap/>
          </w:tcPr>
          <w:p>
            <w:pPr>
              <w:pStyle w:val="11"/>
              <w:spacing w:line="560" w:lineRule="exact"/>
              <w:ind w:firstLine="0" w:firstLineChars="0"/>
              <w:jc w:val="center"/>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单人间</w:t>
            </w:r>
          </w:p>
        </w:tc>
        <w:tc>
          <w:tcPr>
            <w:tcW w:w="2878" w:type="dxa"/>
            <w:noWrap/>
          </w:tcPr>
          <w:p>
            <w:pPr>
              <w:spacing w:line="560" w:lineRule="exact"/>
              <w:jc w:val="center"/>
              <w:rPr>
                <w:rFonts w:ascii="仿宋_GB2312" w:hAnsi="仿宋_GB2312" w:eastAsia="仿宋_GB2312" w:cs="仿宋_GB2312"/>
                <w:bCs/>
                <w:sz w:val="28"/>
                <w:szCs w:val="28"/>
              </w:rPr>
            </w:pPr>
          </w:p>
        </w:tc>
        <w:tc>
          <w:tcPr>
            <w:tcW w:w="2126" w:type="dxa"/>
            <w:vMerge w:val="continue"/>
            <w:noWrap/>
          </w:tcPr>
          <w:p>
            <w:pPr>
              <w:pStyle w:val="11"/>
              <w:spacing w:line="560" w:lineRule="exact"/>
              <w:ind w:firstLine="0" w:firstLineChars="0"/>
              <w:jc w:val="center"/>
              <w:rPr>
                <w:rFonts w:ascii="仿宋_GB2312" w:hAnsi="仿宋_GB2312" w:eastAsia="仿宋_GB2312" w:cs="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12" w:type="dxa"/>
            <w:noWrap/>
          </w:tcPr>
          <w:p>
            <w:pPr>
              <w:pStyle w:val="11"/>
              <w:spacing w:line="560" w:lineRule="exact"/>
              <w:ind w:firstLine="0" w:firstLineChars="0"/>
              <w:jc w:val="center"/>
              <w:rPr>
                <w:rFonts w:ascii="仿宋_GB2312" w:hAnsi="仿宋_GB2312" w:eastAsia="仿宋_GB2312" w:cs="仿宋_GB2312"/>
                <w:bCs/>
                <w:sz w:val="28"/>
                <w:szCs w:val="28"/>
              </w:rPr>
            </w:pPr>
          </w:p>
        </w:tc>
        <w:tc>
          <w:tcPr>
            <w:tcW w:w="2878" w:type="dxa"/>
            <w:noWrap/>
          </w:tcPr>
          <w:p>
            <w:pPr>
              <w:spacing w:line="560" w:lineRule="exact"/>
              <w:jc w:val="center"/>
              <w:rPr>
                <w:rFonts w:ascii="仿宋_GB2312" w:hAnsi="仿宋_GB2312" w:eastAsia="仿宋_GB2312" w:cs="仿宋_GB2312"/>
                <w:bCs/>
                <w:sz w:val="28"/>
                <w:szCs w:val="28"/>
              </w:rPr>
            </w:pPr>
          </w:p>
        </w:tc>
        <w:tc>
          <w:tcPr>
            <w:tcW w:w="2126" w:type="dxa"/>
            <w:vMerge w:val="continue"/>
            <w:noWrap/>
          </w:tcPr>
          <w:p>
            <w:pPr>
              <w:pStyle w:val="11"/>
              <w:spacing w:line="560" w:lineRule="exact"/>
              <w:ind w:firstLine="0" w:firstLineChars="0"/>
              <w:jc w:val="center"/>
              <w:rPr>
                <w:rFonts w:ascii="仿宋_GB2312" w:hAnsi="仿宋_GB2312" w:eastAsia="仿宋_GB2312" w:cs="仿宋_GB2312"/>
                <w:bCs/>
                <w:sz w:val="28"/>
                <w:szCs w:val="28"/>
              </w:rPr>
            </w:pPr>
          </w:p>
        </w:tc>
      </w:tr>
    </w:tbl>
    <w:p>
      <w:pPr>
        <w:pStyle w:val="11"/>
        <w:spacing w:line="560" w:lineRule="exact"/>
        <w:ind w:firstLine="640"/>
        <w:rPr>
          <w:rFonts w:ascii="仿宋_GB2312" w:hAnsi="仿宋_GB2312" w:eastAsia="仿宋_GB2312" w:cs="仿宋_GB2312"/>
          <w:bCs/>
          <w:sz w:val="32"/>
          <w:szCs w:val="32"/>
        </w:rPr>
      </w:pPr>
      <w:r>
        <w:rPr>
          <w:rFonts w:hint="eastAsia" w:ascii="仿宋_GB2312" w:hAnsi="仿宋_GB2312" w:eastAsia="仿宋_GB2312" w:cs="仿宋_GB2312"/>
          <w:sz w:val="32"/>
          <w:szCs w:val="32"/>
        </w:rPr>
        <w:t>二、会议场所</w:t>
      </w:r>
    </w:p>
    <w:tbl>
      <w:tblPr>
        <w:tblStyle w:val="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513"/>
        <w:gridCol w:w="1487"/>
        <w:gridCol w:w="2372"/>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1731"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会议地点</w:t>
            </w:r>
          </w:p>
        </w:tc>
        <w:tc>
          <w:tcPr>
            <w:tcW w:w="1513"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容纳人数（课桌式）</w:t>
            </w:r>
          </w:p>
        </w:tc>
        <w:tc>
          <w:tcPr>
            <w:tcW w:w="1487"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会议时间</w:t>
            </w:r>
          </w:p>
        </w:tc>
        <w:tc>
          <w:tcPr>
            <w:tcW w:w="2372"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元/天</w:t>
            </w:r>
          </w:p>
        </w:tc>
        <w:tc>
          <w:tcPr>
            <w:tcW w:w="1402"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1731"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c>
          <w:tcPr>
            <w:tcW w:w="1513"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c>
          <w:tcPr>
            <w:tcW w:w="1487"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c>
          <w:tcPr>
            <w:tcW w:w="2372"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c>
          <w:tcPr>
            <w:tcW w:w="1402"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1731"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c>
          <w:tcPr>
            <w:tcW w:w="1513"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c>
          <w:tcPr>
            <w:tcW w:w="1487"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c>
          <w:tcPr>
            <w:tcW w:w="2372"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c>
          <w:tcPr>
            <w:tcW w:w="1402" w:type="dxa"/>
            <w:tcBorders>
              <w:top w:val="single" w:color="auto" w:sz="4" w:space="0"/>
              <w:left w:val="single" w:color="auto" w:sz="4" w:space="0"/>
              <w:bottom w:val="single" w:color="auto" w:sz="4" w:space="0"/>
              <w:right w:val="single" w:color="auto" w:sz="4" w:space="0"/>
            </w:tcBorders>
            <w:noWrap/>
            <w:vAlign w:val="center"/>
          </w:tcPr>
          <w:p>
            <w:pPr>
              <w:spacing w:line="560" w:lineRule="exact"/>
              <w:jc w:val="center"/>
              <w:rPr>
                <w:rFonts w:ascii="仿宋_GB2312" w:hAnsi="仿宋_GB2312" w:eastAsia="仿宋_GB2312" w:cs="仿宋_GB2312"/>
                <w:sz w:val="28"/>
                <w:szCs w:val="28"/>
              </w:rPr>
            </w:pPr>
          </w:p>
        </w:tc>
      </w:tr>
    </w:tbl>
    <w:p>
      <w:pPr>
        <w:pStyle w:val="4"/>
        <w:pBdr>
          <w:bottom w:val="none" w:color="auto" w:sz="0" w:space="0"/>
        </w:pBdr>
        <w:tabs>
          <w:tab w:val="left" w:pos="6480"/>
          <w:tab w:val="left" w:pos="6660"/>
        </w:tabs>
        <w:spacing w:line="56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备注：</w:t>
      </w:r>
    </w:p>
    <w:p>
      <w:pPr>
        <w:pStyle w:val="4"/>
        <w:pBdr>
          <w:bottom w:val="none" w:color="auto" w:sz="0" w:space="0"/>
        </w:pBdr>
        <w:tabs>
          <w:tab w:val="left" w:pos="6480"/>
          <w:tab w:val="left" w:pos="6660"/>
        </w:tabs>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1.甲方在进行场地布置与召开会议时，相关单位及人员必须遵守乙方的规定，不影响酒店的正常营业、不破坏酒店的设施设备，如有损坏一律照价赔偿；</w:t>
      </w:r>
    </w:p>
    <w:p>
      <w:pPr>
        <w:pStyle w:val="4"/>
        <w:pBdr>
          <w:bottom w:val="none" w:color="auto" w:sz="0" w:space="0"/>
        </w:pBdr>
        <w:tabs>
          <w:tab w:val="left" w:pos="6480"/>
          <w:tab w:val="left" w:pos="6660"/>
        </w:tabs>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2.会议场所租金含投影仪、幕布、音响、横幅、欢迎水牌。</w:t>
      </w:r>
    </w:p>
    <w:p>
      <w:pPr>
        <w:pStyle w:val="4"/>
        <w:pBdr>
          <w:bottom w:val="none" w:color="auto" w:sz="0" w:space="0"/>
        </w:pBdr>
        <w:tabs>
          <w:tab w:val="left" w:pos="6480"/>
          <w:tab w:val="left" w:pos="6660"/>
        </w:tabs>
        <w:spacing w:line="560" w:lineRule="exact"/>
        <w:ind w:left="48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三、款项支付：</w:t>
      </w:r>
    </w:p>
    <w:p>
      <w:pPr>
        <w:pStyle w:val="4"/>
        <w:pBdr>
          <w:bottom w:val="none" w:color="auto" w:sz="0" w:space="0"/>
        </w:pBdr>
        <w:tabs>
          <w:tab w:val="left" w:pos="6480"/>
          <w:tab w:val="left" w:pos="6660"/>
        </w:tabs>
        <w:spacing w:line="560" w:lineRule="exact"/>
        <w:ind w:left="48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1.款项支付执行对公转账。</w:t>
      </w:r>
    </w:p>
    <w:p>
      <w:pPr>
        <w:pStyle w:val="4"/>
        <w:pBdr>
          <w:bottom w:val="none" w:color="auto" w:sz="0" w:space="0"/>
        </w:pBdr>
        <w:tabs>
          <w:tab w:val="left" w:pos="6480"/>
          <w:tab w:val="left" w:pos="6660"/>
        </w:tabs>
        <w:spacing w:line="560" w:lineRule="exact"/>
        <w:ind w:left="48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2.乙方收款银行账号如下：</w:t>
      </w:r>
    </w:p>
    <w:p>
      <w:pPr>
        <w:spacing w:line="560" w:lineRule="exact"/>
        <w:ind w:firstLine="480" w:firstLineChars="150"/>
        <w:rPr>
          <w:rFonts w:ascii="仿宋_GB2312" w:hAnsi="仿宋_GB2312" w:eastAsia="仿宋_GB2312" w:cs="仿宋_GB2312"/>
          <w:sz w:val="32"/>
          <w:szCs w:val="32"/>
        </w:rPr>
      </w:pPr>
      <w:r>
        <w:rPr>
          <w:rFonts w:hint="eastAsia" w:ascii="仿宋_GB2312" w:hAnsi="仿宋_GB2312" w:eastAsia="仿宋_GB2312" w:cs="仿宋_GB2312"/>
          <w:sz w:val="32"/>
          <w:szCs w:val="32"/>
        </w:rPr>
        <w:t>银行户名：</w:t>
      </w:r>
    </w:p>
    <w:p>
      <w:pPr>
        <w:spacing w:line="560" w:lineRule="exact"/>
        <w:ind w:firstLine="480" w:firstLineChars="150"/>
        <w:rPr>
          <w:rFonts w:ascii="仿宋_GB2312" w:hAnsi="仿宋_GB2312" w:eastAsia="仿宋_GB2312" w:cs="仿宋_GB2312"/>
          <w:sz w:val="32"/>
          <w:szCs w:val="32"/>
        </w:rPr>
      </w:pPr>
      <w:r>
        <w:rPr>
          <w:rFonts w:hint="eastAsia" w:ascii="仿宋_GB2312" w:hAnsi="仿宋_GB2312" w:eastAsia="仿宋_GB2312" w:cs="仿宋_GB2312"/>
          <w:sz w:val="32"/>
          <w:szCs w:val="32"/>
        </w:rPr>
        <w:t>开 户 行：</w:t>
      </w:r>
    </w:p>
    <w:p>
      <w:pPr>
        <w:spacing w:line="560" w:lineRule="exact"/>
        <w:ind w:firstLine="480" w:firstLineChars="150"/>
        <w:rPr>
          <w:rFonts w:ascii="仿宋_GB2312" w:hAnsi="仿宋_GB2312" w:eastAsia="仿宋_GB2312" w:cs="仿宋_GB2312"/>
          <w:sz w:val="32"/>
          <w:szCs w:val="32"/>
        </w:rPr>
      </w:pPr>
      <w:r>
        <w:rPr>
          <w:rFonts w:hint="eastAsia" w:ascii="仿宋_GB2312" w:hAnsi="仿宋_GB2312" w:eastAsia="仿宋_GB2312" w:cs="仿宋_GB2312"/>
          <w:sz w:val="32"/>
          <w:szCs w:val="32"/>
        </w:rPr>
        <w:t>帐 号：</w:t>
      </w:r>
    </w:p>
    <w:p>
      <w:pPr>
        <w:pStyle w:val="4"/>
        <w:numPr>
          <w:ilvl w:val="0"/>
          <w:numId w:val="1"/>
        </w:numPr>
        <w:pBdr>
          <w:bottom w:val="none" w:color="auto" w:sz="0" w:space="0"/>
        </w:pBdr>
        <w:tabs>
          <w:tab w:val="left" w:pos="6480"/>
          <w:tab w:val="left" w:pos="6660"/>
        </w:tabs>
        <w:spacing w:line="560" w:lineRule="exact"/>
        <w:ind w:left="48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甲方责任及权利</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1．按合同约定支付消费款项。</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2．甲方在乙方场所消费期间禁止从事违反中华人民共和国法律法规及地方政府相关规定，否则乙方有权利随时终止本协议。</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3．甲方应爱护乙方财产设施。如有损害，乙方必须承担相应的责任和赔偿由此造成的损失。</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4．甲方不可转售转租所预订的客房。</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5.甲方如需粘贴画报、摆放展架物品、会场装饰及外围物品等，必须经过乙方同意。</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6.甲方租用本酒店会议场地期间,所有的财物、文件数据和设备均由甲方自行保管,如有丢失,乙方不须负任何责任。</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五、乙方责任与权利</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1．按合同约定的价格标准收取费用。</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2．提供甲方在店客人的各项常规服务，各项配套服务。</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3．按甲方的合理要求有偿增设或撤销相应的服务项目。</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4．负责在店客人的安全、保卫等项工作。</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5．提供其他向常规客人提供的各项基本服务。</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6．无论任何情况下，有事及时向甲方反映，不直接与甲方安排的住客发生争执。</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六、本协议所涉优惠只限于以上消费项目，除本文中规定的项目、权力、责任、义务之外，本协议对甲乙双方不构成其他任何约束。协议一经签署即具有法律效力。协议有效期为：2019年月日至 2021年月日。</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bCs/>
          <w:sz w:val="32"/>
          <w:szCs w:val="32"/>
        </w:rPr>
        <w:t>七</w:t>
      </w:r>
      <w:r>
        <w:rPr>
          <w:rFonts w:hint="eastAsia" w:ascii="仿宋_GB2312" w:hAnsi="仿宋_GB2312" w:eastAsia="仿宋_GB2312" w:cs="仿宋_GB2312"/>
          <w:sz w:val="32"/>
          <w:szCs w:val="32"/>
        </w:rPr>
        <w:t>、本协议在履行过程中发生争议的，应优先协商解决，经协商确无法解决的均可向甲方所在地人民法院诉讼。</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八、本协议经甲乙双方签章后生效，本协议一式四份，双方各执两份。</w:t>
      </w:r>
    </w:p>
    <w:p>
      <w:pPr>
        <w:pStyle w:val="4"/>
        <w:pBdr>
          <w:bottom w:val="none" w:color="auto" w:sz="0" w:space="0"/>
        </w:pBdr>
        <w:tabs>
          <w:tab w:val="left" w:pos="6480"/>
          <w:tab w:val="left" w:pos="6660"/>
        </w:tabs>
        <w:spacing w:line="560" w:lineRule="exact"/>
        <w:jc w:val="both"/>
        <w:rPr>
          <w:rFonts w:hint="eastAsia" w:ascii="仿宋_GB2312" w:hAnsi="仿宋_GB2312" w:eastAsia="仿宋_GB2312" w:cs="仿宋_GB2312"/>
          <w:sz w:val="32"/>
          <w:szCs w:val="32"/>
        </w:rPr>
      </w:pPr>
    </w:p>
    <w:p>
      <w:pPr>
        <w:pStyle w:val="4"/>
        <w:pBdr>
          <w:bottom w:val="none" w:color="auto" w:sz="0" w:space="0"/>
        </w:pBdr>
        <w:tabs>
          <w:tab w:val="left" w:pos="6480"/>
          <w:tab w:val="left" w:pos="6660"/>
        </w:tabs>
        <w:spacing w:line="560" w:lineRule="exact"/>
        <w:jc w:val="both"/>
        <w:rPr>
          <w:rFonts w:hint="eastAsia" w:ascii="仿宋_GB2312" w:hAnsi="仿宋_GB2312" w:eastAsia="仿宋_GB2312" w:cs="仿宋_GB2312"/>
          <w:sz w:val="32"/>
          <w:szCs w:val="32"/>
        </w:rPr>
      </w:pPr>
    </w:p>
    <w:p>
      <w:pPr>
        <w:pStyle w:val="4"/>
        <w:pBdr>
          <w:bottom w:val="none" w:color="auto" w:sz="0" w:space="0"/>
        </w:pBdr>
        <w:tabs>
          <w:tab w:val="left" w:pos="6480"/>
          <w:tab w:val="left" w:pos="6660"/>
        </w:tabs>
        <w:spacing w:line="56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甲方：                     乙方：</w:t>
      </w:r>
    </w:p>
    <w:p>
      <w:pPr>
        <w:pStyle w:val="4"/>
        <w:pBdr>
          <w:bottom w:val="none" w:color="auto" w:sz="0" w:space="0"/>
        </w:pBdr>
        <w:tabs>
          <w:tab w:val="left" w:pos="6480"/>
          <w:tab w:val="left" w:pos="6660"/>
        </w:tabs>
        <w:spacing w:line="56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地址：                     地址：</w:t>
      </w:r>
    </w:p>
    <w:p>
      <w:pPr>
        <w:pStyle w:val="4"/>
        <w:pBdr>
          <w:bottom w:val="none" w:color="auto" w:sz="0" w:space="0"/>
        </w:pBdr>
        <w:tabs>
          <w:tab w:val="left" w:pos="6480"/>
          <w:tab w:val="left" w:pos="6660"/>
        </w:tabs>
        <w:spacing w:line="56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电话：                     电话：</w:t>
      </w:r>
    </w:p>
    <w:p>
      <w:pPr>
        <w:pStyle w:val="4"/>
        <w:pBdr>
          <w:bottom w:val="none" w:color="auto" w:sz="0" w:space="0"/>
        </w:pBdr>
        <w:tabs>
          <w:tab w:val="left" w:pos="6480"/>
          <w:tab w:val="left" w:pos="6660"/>
        </w:tabs>
        <w:spacing w:line="56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传真：                     传真：</w:t>
      </w:r>
    </w:p>
    <w:p>
      <w:pPr>
        <w:pStyle w:val="4"/>
        <w:pBdr>
          <w:bottom w:val="none" w:color="auto" w:sz="0" w:space="0"/>
        </w:pBdr>
        <w:tabs>
          <w:tab w:val="left" w:pos="6480"/>
          <w:tab w:val="left" w:pos="6660"/>
        </w:tabs>
        <w:spacing w:line="560" w:lineRule="exact"/>
        <w:jc w:val="both"/>
        <w:rPr>
          <w:rFonts w:ascii="仿宋_GB2312" w:hAnsi="仿宋_GB2312" w:eastAsia="仿宋_GB2312" w:cs="仿宋_GB2312"/>
          <w:b/>
          <w:bCs/>
          <w:sz w:val="32"/>
          <w:szCs w:val="32"/>
        </w:rPr>
      </w:pPr>
      <w:r>
        <w:rPr>
          <w:rFonts w:hint="eastAsia" w:ascii="仿宋_GB2312" w:hAnsi="仿宋_GB2312" w:eastAsia="仿宋_GB2312" w:cs="仿宋_GB2312"/>
          <w:sz w:val="32"/>
          <w:szCs w:val="32"/>
        </w:rPr>
        <w:t>授权代表：                 授权代表：</w:t>
      </w:r>
    </w:p>
    <w:p>
      <w:pPr>
        <w:pStyle w:val="4"/>
        <w:pBdr>
          <w:bottom w:val="none" w:color="auto" w:sz="0" w:space="0"/>
        </w:pBdr>
        <w:tabs>
          <w:tab w:val="left" w:pos="6480"/>
          <w:tab w:val="left" w:pos="6660"/>
        </w:tabs>
        <w:spacing w:line="56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签署日期： 年  月  日      签署日期：   年  月  日</w:t>
      </w:r>
    </w:p>
    <w:p>
      <w:pPr>
        <w:spacing w:line="560" w:lineRule="exact"/>
        <w:rPr>
          <w:rFonts w:ascii="仿宋_GB2312" w:hAnsi="仿宋_GB2312" w:eastAsia="仿宋_GB2312" w:cs="仿宋_GB2312"/>
          <w:b/>
          <w:bCs/>
          <w:sz w:val="32"/>
          <w:szCs w:val="32"/>
        </w:rPr>
      </w:pPr>
    </w:p>
    <w:p>
      <w:pPr>
        <w:snapToGrid w:val="0"/>
        <w:spacing w:line="400" w:lineRule="exact"/>
        <w:jc w:val="center"/>
        <w:rPr>
          <w:rFonts w:ascii="宋体" w:hAnsi="宋体"/>
          <w:b/>
          <w:bCs/>
          <w:szCs w:val="21"/>
        </w:rPr>
      </w:pPr>
    </w:p>
    <w:p>
      <w:pPr>
        <w:snapToGrid w:val="0"/>
        <w:spacing w:line="360" w:lineRule="auto"/>
        <w:jc w:val="center"/>
        <w:rPr>
          <w:rFonts w:ascii="宋体" w:hAnsi="宋体"/>
          <w:b/>
          <w:szCs w:val="21"/>
        </w:rPr>
      </w:pPr>
    </w:p>
    <w:p>
      <w:pPr>
        <w:rPr>
          <w:sz w:val="32"/>
          <w:szCs w:val="32"/>
        </w:rPr>
      </w:pPr>
      <w:r>
        <w:rPr>
          <w:sz w:val="32"/>
          <w:szCs w:val="32"/>
        </w:rPr>
        <w:br w:type="page"/>
      </w:r>
    </w:p>
    <w:p>
      <w:pPr>
        <w:pageBreakBefore/>
        <w:spacing w:line="300" w:lineRule="auto"/>
        <w:ind w:left="420" w:hanging="420"/>
        <w:jc w:val="center"/>
        <w:rPr>
          <w:rFonts w:ascii="黑体" w:hAnsi="宋体" w:eastAsia="黑体"/>
          <w:b/>
          <w:kern w:val="0"/>
          <w:sz w:val="32"/>
          <w:szCs w:val="32"/>
        </w:rPr>
      </w:pPr>
      <w:r>
        <w:rPr>
          <w:rFonts w:hint="eastAsia" w:ascii="黑体" w:hAnsi="宋体" w:eastAsia="黑体"/>
          <w:b/>
          <w:kern w:val="0"/>
          <w:sz w:val="32"/>
          <w:szCs w:val="32"/>
        </w:rPr>
        <w:t>定点服务合作协议（车辆租赁）（格式二）</w:t>
      </w:r>
    </w:p>
    <w:p>
      <w:pPr>
        <w:spacing w:line="560" w:lineRule="exact"/>
        <w:rPr>
          <w:rFonts w:ascii="仿宋_GB2312" w:hAnsi="仿宋_GB2312" w:eastAsia="仿宋_GB2312" w:cs="仿宋_GB2312"/>
          <w:sz w:val="32"/>
          <w:szCs w:val="32"/>
        </w:rPr>
      </w:pPr>
    </w:p>
    <w:p>
      <w:pPr>
        <w:spacing w:line="520" w:lineRule="exact"/>
        <w:rPr>
          <w:rFonts w:ascii="仿宋_GB2312" w:eastAsia="仿宋_GB2312"/>
          <w:sz w:val="32"/>
          <w:szCs w:val="32"/>
        </w:rPr>
      </w:pPr>
      <w:r>
        <w:rPr>
          <w:rFonts w:hint="eastAsia" w:ascii="仿宋_GB2312" w:eastAsia="仿宋_GB2312"/>
          <w:sz w:val="32"/>
          <w:szCs w:val="32"/>
        </w:rPr>
        <w:t>甲方：</w:t>
      </w:r>
    </w:p>
    <w:p>
      <w:pPr>
        <w:spacing w:line="520" w:lineRule="exact"/>
        <w:rPr>
          <w:rFonts w:ascii="仿宋_GB2312" w:eastAsia="仿宋_GB2312"/>
          <w:sz w:val="32"/>
          <w:szCs w:val="32"/>
        </w:rPr>
      </w:pPr>
      <w:r>
        <w:rPr>
          <w:rFonts w:hint="eastAsia" w:ascii="仿宋_GB2312" w:eastAsia="仿宋_GB2312"/>
          <w:sz w:val="32"/>
          <w:szCs w:val="32"/>
        </w:rPr>
        <w:t>乙方：</w:t>
      </w:r>
      <w:r>
        <w:rPr>
          <w:rFonts w:hint="eastAsia" w:ascii="仿宋_GB2312" w:eastAsia="仿宋_GB2312"/>
          <w:b/>
          <w:bCs/>
          <w:sz w:val="32"/>
          <w:szCs w:val="32"/>
        </w:rPr>
        <w:t>南宁师范大学</w:t>
      </w:r>
    </w:p>
    <w:p>
      <w:pPr>
        <w:tabs>
          <w:tab w:val="left" w:pos="7605"/>
        </w:tabs>
        <w:spacing w:line="520" w:lineRule="exact"/>
        <w:ind w:firstLine="640" w:firstLineChars="200"/>
        <w:rPr>
          <w:rFonts w:ascii="仿宋_GB2312" w:eastAsia="仿宋_GB2312"/>
          <w:sz w:val="32"/>
          <w:szCs w:val="32"/>
        </w:rPr>
      </w:pPr>
      <w:r>
        <w:rPr>
          <w:rFonts w:hint="eastAsia" w:ascii="仿宋_GB2312" w:eastAsia="仿宋_GB2312"/>
          <w:sz w:val="32"/>
          <w:szCs w:val="32"/>
        </w:rPr>
        <w:t>为了明确租车双方的权利及应履行的义务，订立以下协议：</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一、乙方每次用车需求须提前下达用车计划，甲方根据乙方的要求派出相应车型的车辆。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租车期间过桥、过路、停车以及加油费用由甲方负责。甲在乙方租赁车辆期间需为乙方乘客购买有关保险（含车辆险、意外险等）。如没有购买相关保险，若乘座人员发生意外需赔偿时，由甲方承担相应赔偿责任。</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三、甲方所委派的司机必须持有合法驾驶证、资格证，且驾驶技术良好，司机服务态度热情周到，不得故意刁难客人。</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四、甲方所派车辆应证件齐全，确保该车辆车况良好、安全、清洁，并按广西交通主管部门标准有关规定购买营运车辆的相关保险含旅客座位险。</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五、在租车期间，司机的伙食由乙方负责，如在市外过夜，乙方负责安排司机住宿，司机应听从乙方代表安排，讲文明礼貌、尊重游客、按时发车。</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六、乙方负责提示乘客遵守乘车安全规程，爱护车辆及其设备。乙方及乘客应尊重司机，不得故意刁难司机，无中生有挑司机的毛病。</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七、乙方租用甲方车期间，因甲方汽车故障而不能履行完成行程，所产生的损失费由甲方负责。</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八、乙方的租车价格如下价格表执行：</w:t>
      </w:r>
    </w:p>
    <w:p>
      <w:pPr>
        <w:spacing w:line="520" w:lineRule="exact"/>
        <w:ind w:firstLine="640" w:firstLineChars="200"/>
        <w:rPr>
          <w:rFonts w:ascii="仿宋_GB2312" w:eastAsia="仿宋_GB2312"/>
          <w:sz w:val="32"/>
          <w:szCs w:val="32"/>
        </w:rPr>
      </w:pPr>
    </w:p>
    <w:tbl>
      <w:tblPr>
        <w:tblStyle w:val="6"/>
        <w:tblW w:w="9549" w:type="dxa"/>
        <w:jc w:val="center"/>
        <w:tblInd w:w="-246"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4"/>
        <w:gridCol w:w="1446"/>
        <w:gridCol w:w="1191"/>
        <w:gridCol w:w="1074"/>
        <w:gridCol w:w="975"/>
        <w:gridCol w:w="1185"/>
        <w:gridCol w:w="1065"/>
        <w:gridCol w:w="1224"/>
        <w:gridCol w:w="91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804" w:hRule="atLeast"/>
          <w:jc w:val="center"/>
        </w:trPr>
        <w:tc>
          <w:tcPr>
            <w:tcW w:w="474" w:type="dxa"/>
            <w:vMerge w:val="restart"/>
            <w:vAlign w:val="center"/>
          </w:tcPr>
          <w:p>
            <w:pPr>
              <w:jc w:val="center"/>
              <w:rPr>
                <w:b/>
                <w:bCs/>
              </w:rPr>
            </w:pPr>
            <w:r>
              <w:rPr>
                <w:rFonts w:hint="eastAsia"/>
                <w:b/>
                <w:bCs/>
              </w:rPr>
              <w:t>序号</w:t>
            </w:r>
          </w:p>
        </w:tc>
        <w:tc>
          <w:tcPr>
            <w:tcW w:w="1446" w:type="dxa"/>
            <w:vMerge w:val="restart"/>
            <w:vAlign w:val="center"/>
          </w:tcPr>
          <w:p>
            <w:pPr>
              <w:jc w:val="center"/>
              <w:rPr>
                <w:b/>
                <w:bCs/>
              </w:rPr>
            </w:pPr>
            <w:r>
              <w:rPr>
                <w:rFonts w:hint="eastAsia"/>
                <w:b/>
                <w:bCs/>
              </w:rPr>
              <w:t>车型及要求</w:t>
            </w:r>
          </w:p>
        </w:tc>
        <w:tc>
          <w:tcPr>
            <w:tcW w:w="1191" w:type="dxa"/>
            <w:tcBorders>
              <w:bottom w:val="single" w:color="auto" w:sz="4" w:space="0"/>
            </w:tcBorders>
            <w:vAlign w:val="center"/>
          </w:tcPr>
          <w:p>
            <w:pPr>
              <w:jc w:val="center"/>
              <w:rPr>
                <w:b/>
                <w:bCs/>
              </w:rPr>
            </w:pPr>
            <w:r>
              <w:rPr>
                <w:rFonts w:hint="eastAsia"/>
                <w:b/>
                <w:bCs/>
              </w:rPr>
              <w:t>市内用车</w:t>
            </w:r>
          </w:p>
        </w:tc>
        <w:tc>
          <w:tcPr>
            <w:tcW w:w="1074" w:type="dxa"/>
            <w:vMerge w:val="restart"/>
            <w:vAlign w:val="center"/>
          </w:tcPr>
          <w:p>
            <w:pPr>
              <w:jc w:val="center"/>
              <w:rPr>
                <w:b/>
                <w:bCs/>
              </w:rPr>
            </w:pPr>
            <w:r>
              <w:rPr>
                <w:rFonts w:hint="eastAsia"/>
                <w:b/>
                <w:bCs/>
              </w:rPr>
              <w:t>超时计费</w:t>
            </w:r>
          </w:p>
          <w:p>
            <w:pPr>
              <w:jc w:val="center"/>
              <w:rPr>
                <w:b/>
                <w:bCs/>
              </w:rPr>
            </w:pPr>
            <w:r>
              <w:rPr>
                <w:rFonts w:hint="eastAsia"/>
                <w:b/>
                <w:bCs/>
              </w:rPr>
              <w:t>（元/小时）</w:t>
            </w:r>
          </w:p>
        </w:tc>
        <w:tc>
          <w:tcPr>
            <w:tcW w:w="975" w:type="dxa"/>
            <w:vMerge w:val="restart"/>
            <w:vAlign w:val="center"/>
          </w:tcPr>
          <w:p>
            <w:pPr>
              <w:jc w:val="center"/>
              <w:rPr>
                <w:b/>
                <w:bCs/>
              </w:rPr>
            </w:pPr>
            <w:r>
              <w:rPr>
                <w:rFonts w:hint="eastAsia"/>
                <w:b/>
                <w:bCs/>
              </w:rPr>
              <w:t>超公里计费（元/公里）</w:t>
            </w:r>
          </w:p>
        </w:tc>
        <w:tc>
          <w:tcPr>
            <w:tcW w:w="1185" w:type="dxa"/>
            <w:vMerge w:val="restart"/>
            <w:tcBorders>
              <w:right w:val="single" w:color="auto" w:sz="4" w:space="0"/>
            </w:tcBorders>
            <w:vAlign w:val="center"/>
          </w:tcPr>
          <w:p>
            <w:pPr>
              <w:jc w:val="center"/>
              <w:rPr>
                <w:b/>
                <w:bCs/>
              </w:rPr>
            </w:pPr>
            <w:r>
              <w:rPr>
                <w:rFonts w:hint="eastAsia"/>
                <w:b/>
                <w:bCs/>
              </w:rPr>
              <w:t>机场接送（趟）</w:t>
            </w:r>
          </w:p>
        </w:tc>
        <w:tc>
          <w:tcPr>
            <w:tcW w:w="1065" w:type="dxa"/>
            <w:vMerge w:val="restart"/>
            <w:tcBorders>
              <w:left w:val="single" w:color="auto" w:sz="4" w:space="0"/>
              <w:right w:val="single" w:color="auto" w:sz="4" w:space="0"/>
            </w:tcBorders>
            <w:vAlign w:val="center"/>
          </w:tcPr>
          <w:p>
            <w:pPr>
              <w:jc w:val="center"/>
              <w:rPr>
                <w:b/>
                <w:bCs/>
              </w:rPr>
            </w:pPr>
            <w:r>
              <w:rPr>
                <w:rFonts w:hint="eastAsia"/>
                <w:b/>
                <w:bCs/>
              </w:rPr>
              <w:t>早班/晚班机（趟)</w:t>
            </w:r>
          </w:p>
        </w:tc>
        <w:tc>
          <w:tcPr>
            <w:tcW w:w="1224" w:type="dxa"/>
            <w:vMerge w:val="restart"/>
            <w:tcBorders>
              <w:left w:val="single" w:color="auto" w:sz="4" w:space="0"/>
              <w:right w:val="single" w:color="auto" w:sz="4" w:space="0"/>
            </w:tcBorders>
            <w:vAlign w:val="center"/>
          </w:tcPr>
          <w:p>
            <w:pPr>
              <w:jc w:val="center"/>
              <w:rPr>
                <w:b/>
                <w:bCs/>
              </w:rPr>
            </w:pPr>
            <w:r>
              <w:rPr>
                <w:rFonts w:hint="eastAsia"/>
                <w:b/>
                <w:bCs/>
              </w:rPr>
              <w:t>区内日行程200公里以上按公里数计费（元/公里）</w:t>
            </w:r>
          </w:p>
        </w:tc>
        <w:tc>
          <w:tcPr>
            <w:tcW w:w="915" w:type="dxa"/>
            <w:vMerge w:val="restart"/>
            <w:tcBorders>
              <w:left w:val="single" w:color="auto" w:sz="4" w:space="0"/>
            </w:tcBorders>
            <w:vAlign w:val="center"/>
          </w:tcPr>
          <w:p>
            <w:pPr>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12" w:hRule="atLeast"/>
          <w:jc w:val="center"/>
        </w:trPr>
        <w:tc>
          <w:tcPr>
            <w:tcW w:w="474" w:type="dxa"/>
            <w:vMerge w:val="continue"/>
            <w:vAlign w:val="center"/>
          </w:tcPr>
          <w:p>
            <w:pPr>
              <w:jc w:val="center"/>
            </w:pPr>
          </w:p>
        </w:tc>
        <w:tc>
          <w:tcPr>
            <w:tcW w:w="1446" w:type="dxa"/>
            <w:vMerge w:val="continue"/>
            <w:vAlign w:val="center"/>
          </w:tcPr>
          <w:p/>
        </w:tc>
        <w:tc>
          <w:tcPr>
            <w:tcW w:w="1191" w:type="dxa"/>
            <w:vMerge w:val="restart"/>
            <w:tcBorders>
              <w:top w:val="single" w:color="auto" w:sz="4" w:space="0"/>
            </w:tcBorders>
            <w:vAlign w:val="center"/>
          </w:tcPr>
          <w:p>
            <w:r>
              <w:rPr>
                <w:rFonts w:hint="eastAsia"/>
                <w:b/>
                <w:bCs/>
              </w:rPr>
              <w:t>（含80公里油/工作时间10小时</w:t>
            </w:r>
          </w:p>
        </w:tc>
        <w:tc>
          <w:tcPr>
            <w:tcW w:w="1074" w:type="dxa"/>
            <w:vMerge w:val="continue"/>
            <w:vAlign w:val="center"/>
          </w:tcPr>
          <w:p/>
        </w:tc>
        <w:tc>
          <w:tcPr>
            <w:tcW w:w="975" w:type="dxa"/>
            <w:vMerge w:val="continue"/>
            <w:vAlign w:val="center"/>
          </w:tcPr>
          <w:p/>
        </w:tc>
        <w:tc>
          <w:tcPr>
            <w:tcW w:w="1185" w:type="dxa"/>
            <w:vMerge w:val="continue"/>
            <w:tcBorders>
              <w:bottom w:val="single" w:color="auto" w:sz="4" w:space="0"/>
              <w:right w:val="single" w:color="auto" w:sz="4" w:space="0"/>
            </w:tcBorders>
            <w:vAlign w:val="center"/>
          </w:tcPr>
          <w:p/>
        </w:tc>
        <w:tc>
          <w:tcPr>
            <w:tcW w:w="1065" w:type="dxa"/>
            <w:vMerge w:val="continue"/>
            <w:tcBorders>
              <w:left w:val="single" w:color="auto" w:sz="4" w:space="0"/>
              <w:right w:val="single" w:color="auto" w:sz="4" w:space="0"/>
            </w:tcBorders>
            <w:vAlign w:val="center"/>
          </w:tcPr>
          <w:p/>
        </w:tc>
        <w:tc>
          <w:tcPr>
            <w:tcW w:w="1224" w:type="dxa"/>
            <w:vMerge w:val="continue"/>
            <w:tcBorders>
              <w:left w:val="single" w:color="auto" w:sz="4" w:space="0"/>
              <w:right w:val="single" w:color="auto" w:sz="4" w:space="0"/>
            </w:tcBorders>
            <w:vAlign w:val="center"/>
          </w:tcPr>
          <w:p/>
        </w:tc>
        <w:tc>
          <w:tcPr>
            <w:tcW w:w="915" w:type="dxa"/>
            <w:vMerge w:val="continue"/>
            <w:tcBorders>
              <w:lef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913" w:hRule="atLeast"/>
          <w:jc w:val="center"/>
        </w:trPr>
        <w:tc>
          <w:tcPr>
            <w:tcW w:w="474" w:type="dxa"/>
            <w:vMerge w:val="continue"/>
            <w:vAlign w:val="center"/>
          </w:tcPr>
          <w:p>
            <w:pPr>
              <w:jc w:val="center"/>
            </w:pPr>
          </w:p>
        </w:tc>
        <w:tc>
          <w:tcPr>
            <w:tcW w:w="1446" w:type="dxa"/>
            <w:vMerge w:val="continue"/>
            <w:vAlign w:val="center"/>
          </w:tcPr>
          <w:p/>
        </w:tc>
        <w:tc>
          <w:tcPr>
            <w:tcW w:w="1191" w:type="dxa"/>
            <w:vMerge w:val="continue"/>
            <w:vAlign w:val="center"/>
          </w:tcPr>
          <w:p/>
        </w:tc>
        <w:tc>
          <w:tcPr>
            <w:tcW w:w="1074" w:type="dxa"/>
            <w:vMerge w:val="continue"/>
            <w:vAlign w:val="center"/>
          </w:tcPr>
          <w:p/>
        </w:tc>
        <w:tc>
          <w:tcPr>
            <w:tcW w:w="975" w:type="dxa"/>
            <w:vMerge w:val="continue"/>
            <w:vAlign w:val="center"/>
          </w:tcPr>
          <w:p/>
        </w:tc>
        <w:tc>
          <w:tcPr>
            <w:tcW w:w="1185" w:type="dxa"/>
            <w:tcBorders>
              <w:top w:val="single" w:color="auto" w:sz="4" w:space="0"/>
              <w:right w:val="single" w:color="auto" w:sz="4" w:space="0"/>
            </w:tcBorders>
            <w:vAlign w:val="center"/>
          </w:tcPr>
          <w:p>
            <w:r>
              <w:rPr>
                <w:rFonts w:hint="eastAsia"/>
                <w:b/>
                <w:bCs/>
              </w:rPr>
              <w:t>早上7点--晚上21点</w:t>
            </w:r>
          </w:p>
        </w:tc>
        <w:tc>
          <w:tcPr>
            <w:tcW w:w="1065" w:type="dxa"/>
            <w:vMerge w:val="continue"/>
            <w:tcBorders>
              <w:left w:val="single" w:color="auto" w:sz="4" w:space="0"/>
              <w:right w:val="single" w:color="auto" w:sz="4" w:space="0"/>
            </w:tcBorders>
            <w:vAlign w:val="center"/>
          </w:tcPr>
          <w:p/>
        </w:tc>
        <w:tc>
          <w:tcPr>
            <w:tcW w:w="1224" w:type="dxa"/>
            <w:vMerge w:val="continue"/>
            <w:tcBorders>
              <w:left w:val="single" w:color="auto" w:sz="4" w:space="0"/>
              <w:right w:val="single" w:color="auto" w:sz="4" w:space="0"/>
            </w:tcBorders>
            <w:vAlign w:val="center"/>
          </w:tcPr>
          <w:p/>
        </w:tc>
        <w:tc>
          <w:tcPr>
            <w:tcW w:w="915" w:type="dxa"/>
            <w:vMerge w:val="continue"/>
            <w:tcBorders>
              <w:lef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92" w:hRule="atLeast"/>
          <w:jc w:val="center"/>
        </w:trPr>
        <w:tc>
          <w:tcPr>
            <w:tcW w:w="474" w:type="dxa"/>
            <w:vAlign w:val="center"/>
          </w:tcPr>
          <w:p>
            <w:pPr>
              <w:jc w:val="center"/>
            </w:pPr>
            <w:r>
              <w:rPr>
                <w:rFonts w:hint="eastAsia"/>
              </w:rPr>
              <w:t>1</w:t>
            </w:r>
          </w:p>
        </w:tc>
        <w:tc>
          <w:tcPr>
            <w:tcW w:w="1446" w:type="dxa"/>
            <w:vAlign w:val="center"/>
          </w:tcPr>
          <w:p>
            <w:pPr>
              <w:rPr>
                <w:b/>
                <w:bCs/>
              </w:rPr>
            </w:pP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25" w:hRule="atLeast"/>
          <w:jc w:val="center"/>
        </w:trPr>
        <w:tc>
          <w:tcPr>
            <w:tcW w:w="474" w:type="dxa"/>
            <w:vAlign w:val="center"/>
          </w:tcPr>
          <w:p>
            <w:pPr>
              <w:jc w:val="center"/>
            </w:pPr>
            <w:r>
              <w:rPr>
                <w:rFonts w:hint="eastAsia"/>
              </w:rPr>
              <w:t>2</w:t>
            </w:r>
          </w:p>
        </w:tc>
        <w:tc>
          <w:tcPr>
            <w:tcW w:w="1446" w:type="dxa"/>
            <w:vAlign w:val="center"/>
          </w:tcPr>
          <w:p>
            <w:pPr>
              <w:rPr>
                <w:b/>
                <w:bCs/>
              </w:rPr>
            </w:pP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pPr>
              <w:rPr>
                <w:b/>
                <w:bCs/>
              </w:rPr>
            </w:pPr>
            <w:r>
              <w:rPr>
                <w:rFonts w:hint="eastAsia"/>
                <w:b/>
                <w:bCs/>
              </w:rPr>
              <w:t>配司机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pPr>
              <w:jc w:val="center"/>
            </w:pPr>
            <w:r>
              <w:rPr>
                <w:rFonts w:hint="eastAsia"/>
              </w:rPr>
              <w:t>3</w:t>
            </w:r>
          </w:p>
        </w:tc>
        <w:tc>
          <w:tcPr>
            <w:tcW w:w="1446" w:type="dxa"/>
            <w:vAlign w:val="center"/>
          </w:tcP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474" w:type="dxa"/>
            <w:vAlign w:val="center"/>
          </w:tcPr>
          <w:p>
            <w:r>
              <w:rPr>
                <w:rFonts w:hint="eastAsia"/>
              </w:rPr>
              <w:t>…</w:t>
            </w:r>
          </w:p>
        </w:tc>
        <w:tc>
          <w:tcPr>
            <w:tcW w:w="1446" w:type="dxa"/>
            <w:vAlign w:val="center"/>
          </w:tcPr>
          <w:p/>
        </w:tc>
        <w:tc>
          <w:tcPr>
            <w:tcW w:w="1191" w:type="dxa"/>
            <w:vAlign w:val="center"/>
          </w:tcPr>
          <w:p/>
        </w:tc>
        <w:tc>
          <w:tcPr>
            <w:tcW w:w="1074" w:type="dxa"/>
            <w:vAlign w:val="center"/>
          </w:tcPr>
          <w:p/>
        </w:tc>
        <w:tc>
          <w:tcPr>
            <w:tcW w:w="975" w:type="dxa"/>
            <w:vAlign w:val="center"/>
          </w:tcPr>
          <w:p/>
        </w:tc>
        <w:tc>
          <w:tcPr>
            <w:tcW w:w="1185" w:type="dxa"/>
            <w:tcBorders>
              <w:right w:val="single" w:color="auto" w:sz="4" w:space="0"/>
            </w:tcBorders>
            <w:vAlign w:val="center"/>
          </w:tcPr>
          <w:p/>
        </w:tc>
        <w:tc>
          <w:tcPr>
            <w:tcW w:w="1065" w:type="dxa"/>
            <w:tcBorders>
              <w:left w:val="single" w:color="auto" w:sz="4" w:space="0"/>
              <w:right w:val="single" w:color="auto" w:sz="4" w:space="0"/>
            </w:tcBorders>
            <w:vAlign w:val="center"/>
          </w:tcPr>
          <w:p/>
        </w:tc>
        <w:tc>
          <w:tcPr>
            <w:tcW w:w="1224" w:type="dxa"/>
            <w:tcBorders>
              <w:left w:val="single" w:color="auto" w:sz="4" w:space="0"/>
              <w:right w:val="single" w:color="auto" w:sz="4" w:space="0"/>
            </w:tcBorders>
            <w:vAlign w:val="center"/>
          </w:tcPr>
          <w:p/>
        </w:tc>
        <w:tc>
          <w:tcPr>
            <w:tcW w:w="915" w:type="dxa"/>
            <w:tcBorders>
              <w:left w:val="single" w:color="auto" w:sz="4" w:space="0"/>
            </w:tcBorders>
            <w:vAlign w:val="center"/>
          </w:tcPr>
          <w:p/>
        </w:tc>
      </w:tr>
    </w:tbl>
    <w:p>
      <w:pPr>
        <w:spacing w:line="520" w:lineRule="exact"/>
        <w:ind w:firstLine="640" w:firstLineChars="200"/>
        <w:rPr>
          <w:rFonts w:ascii="仿宋_GB2312" w:eastAsia="仿宋_GB2312"/>
          <w:sz w:val="32"/>
          <w:szCs w:val="32"/>
        </w:rPr>
      </w:pPr>
    </w:p>
    <w:p>
      <w:pPr>
        <w:widowControl/>
        <w:jc w:val="left"/>
      </w:pPr>
    </w:p>
    <w:p>
      <w:pPr>
        <w:widowControl/>
        <w:jc w:val="left"/>
      </w:pPr>
    </w:p>
    <w:p>
      <w:pPr>
        <w:spacing w:line="520" w:lineRule="exact"/>
        <w:ind w:firstLine="640" w:firstLineChars="200"/>
        <w:rPr>
          <w:rFonts w:ascii="仿宋_GB2312" w:eastAsia="仿宋_GB2312"/>
          <w:sz w:val="32"/>
          <w:szCs w:val="32"/>
        </w:rPr>
      </w:pPr>
      <w:r>
        <w:rPr>
          <w:rFonts w:hint="eastAsia" w:ascii="仿宋_GB2312" w:eastAsia="仿宋_GB2312"/>
          <w:sz w:val="32"/>
          <w:szCs w:val="32"/>
        </w:rPr>
        <w:t>乙方租车款在用车结束后三个月内结清给甲方，转账前乙方需将用车结算明细表盖好公司公章给甲方审核，审核无误后开具发票给乙方。转账账号如下：</w:t>
      </w:r>
    </w:p>
    <w:p>
      <w:pPr>
        <w:spacing w:line="520" w:lineRule="exact"/>
        <w:ind w:firstLine="480" w:firstLineChars="150"/>
        <w:rPr>
          <w:rFonts w:ascii="仿宋_GB2312" w:hAnsi="宋体" w:eastAsia="仿宋_GB2312" w:cs="宋体"/>
          <w:sz w:val="32"/>
          <w:szCs w:val="32"/>
          <w:u w:val="single"/>
        </w:rPr>
      </w:pPr>
      <w:r>
        <w:rPr>
          <w:rFonts w:hint="eastAsia" w:ascii="仿宋_GB2312" w:hAnsi="宋体" w:eastAsia="仿宋_GB2312" w:cs="宋体"/>
          <w:sz w:val="32"/>
          <w:szCs w:val="32"/>
          <w:u w:val="single"/>
        </w:rPr>
        <w:t xml:space="preserve">公司名称：  </w:t>
      </w:r>
    </w:p>
    <w:p>
      <w:pPr>
        <w:spacing w:line="520" w:lineRule="exact"/>
        <w:ind w:firstLine="480" w:firstLineChars="150"/>
        <w:rPr>
          <w:rFonts w:ascii="仿宋_GB2312" w:eastAsia="仿宋_GB2312" w:cs="宋体"/>
          <w:sz w:val="32"/>
          <w:szCs w:val="32"/>
          <w:u w:val="single"/>
        </w:rPr>
      </w:pPr>
      <w:r>
        <w:rPr>
          <w:rFonts w:hint="eastAsia" w:ascii="仿宋_GB2312" w:hAnsi="宋体" w:eastAsia="仿宋_GB2312" w:cs="宋体"/>
          <w:sz w:val="32"/>
          <w:szCs w:val="32"/>
          <w:u w:val="single"/>
        </w:rPr>
        <w:t>开户行：</w:t>
      </w:r>
    </w:p>
    <w:p>
      <w:pPr>
        <w:spacing w:line="520" w:lineRule="exact"/>
        <w:ind w:firstLine="480" w:firstLineChars="150"/>
        <w:rPr>
          <w:rFonts w:ascii="仿宋_GB2312" w:eastAsia="仿宋_GB2312"/>
          <w:sz w:val="32"/>
          <w:szCs w:val="32"/>
        </w:rPr>
      </w:pPr>
      <w:r>
        <w:rPr>
          <w:rFonts w:hint="eastAsia" w:ascii="仿宋_GB2312" w:hAnsi="宋体" w:eastAsia="仿宋_GB2312" w:cs="宋体"/>
          <w:sz w:val="32"/>
          <w:szCs w:val="32"/>
          <w:u w:val="single"/>
        </w:rPr>
        <w:t xml:space="preserve">账号： </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九、甲乙双方任何一方无故违约者，赔偿损失费为协议价的</w:t>
      </w:r>
      <w:r>
        <w:rPr>
          <w:rFonts w:hint="eastAsia" w:ascii="仿宋_GB2312" w:hAnsi="宋体" w:eastAsia="仿宋_GB2312"/>
          <w:b/>
          <w:bCs/>
          <w:sz w:val="32"/>
          <w:szCs w:val="32"/>
        </w:rPr>
        <w:t>50%</w:t>
      </w:r>
      <w:r>
        <w:rPr>
          <w:rFonts w:hint="eastAsia" w:ascii="仿宋_GB2312" w:eastAsia="仿宋_GB2312"/>
          <w:sz w:val="32"/>
          <w:szCs w:val="32"/>
        </w:rPr>
        <w:t>，其他未尽事宜，由双方友好协商解决。</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十、租用车辆的时间和行程每次用车前由甲方用车的具体部门来签订当次用车协议。</w:t>
      </w:r>
    </w:p>
    <w:p>
      <w:pPr>
        <w:pStyle w:val="4"/>
        <w:pBdr>
          <w:bottom w:val="none" w:color="auto" w:sz="0" w:space="0"/>
        </w:pBdr>
        <w:tabs>
          <w:tab w:val="left" w:pos="6480"/>
          <w:tab w:val="left" w:pos="6660"/>
        </w:tabs>
        <w:spacing w:line="560" w:lineRule="exact"/>
        <w:ind w:firstLine="640" w:firstLineChars="200"/>
        <w:jc w:val="both"/>
        <w:rPr>
          <w:rFonts w:ascii="仿宋_GB2312" w:hAnsi="仿宋_GB2312" w:eastAsia="仿宋_GB2312" w:cs="仿宋_GB2312"/>
          <w:sz w:val="32"/>
          <w:szCs w:val="32"/>
        </w:rPr>
      </w:pPr>
      <w:r>
        <w:rPr>
          <w:rFonts w:hint="eastAsia" w:ascii="仿宋_GB2312" w:eastAsia="仿宋_GB2312"/>
          <w:sz w:val="32"/>
          <w:szCs w:val="32"/>
        </w:rPr>
        <w:t>十一、本合同有效期拟从</w:t>
      </w:r>
      <w:r>
        <w:rPr>
          <w:rFonts w:hint="eastAsia" w:ascii="仿宋_GB2312" w:hAnsi="仿宋_GB2312" w:eastAsia="仿宋_GB2312" w:cs="仿宋_GB2312"/>
          <w:sz w:val="32"/>
          <w:szCs w:val="32"/>
        </w:rPr>
        <w:t>2019年 月日至 2021年月 日</w:t>
      </w:r>
      <w:r>
        <w:rPr>
          <w:rFonts w:hint="eastAsia" w:ascii="仿宋_GB2312" w:eastAsia="仿宋_GB2312"/>
          <w:sz w:val="32"/>
          <w:szCs w:val="32"/>
        </w:rPr>
        <w:t>，共四份，双方各持两份。</w:t>
      </w:r>
    </w:p>
    <w:p>
      <w:pPr>
        <w:spacing w:line="520" w:lineRule="exact"/>
        <w:rPr>
          <w:rFonts w:ascii="仿宋_GB2312" w:eastAsia="仿宋_GB2312"/>
          <w:sz w:val="32"/>
          <w:szCs w:val="32"/>
        </w:rPr>
      </w:pPr>
    </w:p>
    <w:p>
      <w:pPr>
        <w:spacing w:line="520" w:lineRule="exact"/>
        <w:rPr>
          <w:rFonts w:ascii="仿宋_GB2312" w:eastAsia="仿宋_GB2312"/>
          <w:sz w:val="32"/>
          <w:szCs w:val="32"/>
        </w:rPr>
      </w:pPr>
    </w:p>
    <w:p>
      <w:pPr>
        <w:spacing w:line="520" w:lineRule="exact"/>
        <w:rPr>
          <w:rFonts w:ascii="仿宋_GB2312" w:eastAsia="仿宋_GB2312"/>
          <w:sz w:val="32"/>
          <w:szCs w:val="32"/>
        </w:rPr>
      </w:pPr>
    </w:p>
    <w:p>
      <w:pPr>
        <w:spacing w:line="520" w:lineRule="exact"/>
        <w:rPr>
          <w:rFonts w:ascii="仿宋_GB2312" w:hAnsi="宋体" w:eastAsia="仿宋_GB2312"/>
          <w:sz w:val="32"/>
          <w:szCs w:val="32"/>
        </w:rPr>
      </w:pPr>
      <w:r>
        <w:rPr>
          <w:rFonts w:hint="eastAsia" w:ascii="仿宋_GB2312" w:hAnsi="宋体" w:eastAsia="仿宋_GB2312"/>
          <w:sz w:val="32"/>
          <w:szCs w:val="32"/>
        </w:rPr>
        <w:t>甲方：                        乙方：</w:t>
      </w:r>
      <w:r>
        <w:rPr>
          <w:rFonts w:hint="eastAsia" w:ascii="仿宋_GB2312" w:hAnsi="宋体" w:eastAsia="仿宋_GB2312"/>
          <w:b/>
          <w:bCs/>
          <w:sz w:val="32"/>
          <w:szCs w:val="32"/>
        </w:rPr>
        <w:t>南宁师范大学</w:t>
      </w:r>
    </w:p>
    <w:p>
      <w:pPr>
        <w:spacing w:line="520" w:lineRule="exact"/>
        <w:rPr>
          <w:rFonts w:ascii="仿宋_GB2312" w:hAnsi="宋体" w:eastAsia="仿宋_GB2312"/>
          <w:sz w:val="32"/>
          <w:szCs w:val="32"/>
        </w:rPr>
      </w:pPr>
      <w:r>
        <w:rPr>
          <w:rFonts w:hint="eastAsia" w:ascii="仿宋_GB2312" w:hAnsi="宋体" w:eastAsia="仿宋_GB2312"/>
          <w:sz w:val="32"/>
          <w:szCs w:val="32"/>
        </w:rPr>
        <w:t>法人代表：                    法人代表：</w:t>
      </w:r>
    </w:p>
    <w:p>
      <w:pPr>
        <w:spacing w:line="520" w:lineRule="exact"/>
        <w:rPr>
          <w:rFonts w:ascii="仿宋_GB2312" w:hAnsi="宋体" w:eastAsia="仿宋_GB2312"/>
          <w:sz w:val="32"/>
          <w:szCs w:val="32"/>
        </w:rPr>
      </w:pPr>
      <w:r>
        <w:rPr>
          <w:rFonts w:hint="eastAsia" w:ascii="仿宋_GB2312" w:hAnsi="宋体" w:eastAsia="仿宋_GB2312"/>
          <w:sz w:val="32"/>
          <w:szCs w:val="32"/>
        </w:rPr>
        <w:t>联系人：                      联系人：</w:t>
      </w:r>
    </w:p>
    <w:p>
      <w:pPr>
        <w:spacing w:line="520" w:lineRule="exact"/>
        <w:rPr>
          <w:rFonts w:ascii="仿宋_GB2312" w:hAnsi="宋体" w:eastAsia="仿宋_GB2312"/>
          <w:sz w:val="32"/>
          <w:szCs w:val="32"/>
        </w:rPr>
      </w:pPr>
      <w:r>
        <w:rPr>
          <w:rFonts w:hint="eastAsia" w:ascii="仿宋_GB2312" w:hAnsi="宋体" w:eastAsia="仿宋_GB2312"/>
          <w:sz w:val="32"/>
          <w:szCs w:val="32"/>
        </w:rPr>
        <w:t>联系电话：                    联系电话：</w:t>
      </w:r>
    </w:p>
    <w:p>
      <w:pPr>
        <w:spacing w:line="520" w:lineRule="exact"/>
        <w:ind w:firstLine="640"/>
        <w:rPr>
          <w:rFonts w:ascii="仿宋_GB2312" w:hAnsi="宋体" w:eastAsia="仿宋_GB2312"/>
          <w:sz w:val="32"/>
          <w:szCs w:val="32"/>
        </w:rPr>
      </w:pPr>
    </w:p>
    <w:p>
      <w:pPr>
        <w:spacing w:line="520" w:lineRule="exact"/>
        <w:rPr>
          <w:rFonts w:ascii="仿宋_GB2312" w:hAnsi="宋体" w:eastAsia="仿宋_GB2312"/>
          <w:sz w:val="32"/>
          <w:szCs w:val="32"/>
        </w:rPr>
      </w:pPr>
      <w:r>
        <w:rPr>
          <w:rFonts w:hint="eastAsia" w:ascii="仿宋_GB2312" w:hAnsi="宋体" w:eastAsia="仿宋_GB2312"/>
          <w:sz w:val="32"/>
          <w:szCs w:val="32"/>
        </w:rPr>
        <w:t>签订时间：   年  月  日     签订时间：   年   月   日</w:t>
      </w:r>
    </w:p>
    <w:p>
      <w:pPr>
        <w:rPr>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page" w:x="6031" w:y="7"/>
      <w:rPr>
        <w:rStyle w:val="9"/>
      </w:rPr>
    </w:pPr>
    <w:r>
      <w:rPr>
        <w:rStyle w:val="9"/>
      </w:rPr>
      <w:fldChar w:fldCharType="begin"/>
    </w:r>
    <w:r>
      <w:rPr>
        <w:rStyle w:val="9"/>
      </w:rPr>
      <w:instrText xml:space="preserve">PAGE  </w:instrText>
    </w:r>
    <w:r>
      <w:rPr>
        <w:rStyle w:val="9"/>
      </w:rPr>
      <w:fldChar w:fldCharType="separate"/>
    </w:r>
    <w:r>
      <w:rPr>
        <w:rStyle w:val="9"/>
      </w:rPr>
      <w:t>21</w:t>
    </w:r>
    <w:r>
      <w:rPr>
        <w:rStyle w:val="9"/>
      </w:rPr>
      <w:fldChar w:fldCharType="end"/>
    </w:r>
  </w:p>
  <w:p>
    <w:pPr>
      <w:pStyle w:val="3"/>
    </w:pPr>
    <w:r>
      <w:rPr>
        <w:kern w:val="0"/>
        <w:szCs w:val="21"/>
      </w:rPr>
      <w:t>-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2BC16"/>
    <w:multiLevelType w:val="singleLevel"/>
    <w:tmpl w:val="4162BC1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F7D08F7"/>
    <w:rsid w:val="00024619"/>
    <w:rsid w:val="00057642"/>
    <w:rsid w:val="00067662"/>
    <w:rsid w:val="001F0942"/>
    <w:rsid w:val="002D6926"/>
    <w:rsid w:val="0036479E"/>
    <w:rsid w:val="00400DB8"/>
    <w:rsid w:val="00487D34"/>
    <w:rsid w:val="00524A4D"/>
    <w:rsid w:val="005D43D8"/>
    <w:rsid w:val="00616628"/>
    <w:rsid w:val="006D4819"/>
    <w:rsid w:val="00761865"/>
    <w:rsid w:val="007F3CF6"/>
    <w:rsid w:val="0080173D"/>
    <w:rsid w:val="00962DF6"/>
    <w:rsid w:val="00A3715F"/>
    <w:rsid w:val="00A83F96"/>
    <w:rsid w:val="00C62170"/>
    <w:rsid w:val="00CD2F26"/>
    <w:rsid w:val="00D4116C"/>
    <w:rsid w:val="00D72125"/>
    <w:rsid w:val="00D87262"/>
    <w:rsid w:val="00DD1F44"/>
    <w:rsid w:val="00DE7621"/>
    <w:rsid w:val="00E12488"/>
    <w:rsid w:val="00EA4EF3"/>
    <w:rsid w:val="00ED4F1A"/>
    <w:rsid w:val="00F224DA"/>
    <w:rsid w:val="00FA7D7F"/>
    <w:rsid w:val="00FD4F46"/>
    <w:rsid w:val="02AB4512"/>
    <w:rsid w:val="08EF1687"/>
    <w:rsid w:val="0A960994"/>
    <w:rsid w:val="0AE002FB"/>
    <w:rsid w:val="0AE70B68"/>
    <w:rsid w:val="0B6D2B60"/>
    <w:rsid w:val="0ED67FA2"/>
    <w:rsid w:val="10FB3BBE"/>
    <w:rsid w:val="13D101EF"/>
    <w:rsid w:val="17D003DF"/>
    <w:rsid w:val="197E12DC"/>
    <w:rsid w:val="199662F4"/>
    <w:rsid w:val="1A77738A"/>
    <w:rsid w:val="1B2A4FE4"/>
    <w:rsid w:val="1C57550B"/>
    <w:rsid w:val="1C781FE4"/>
    <w:rsid w:val="1CF866B2"/>
    <w:rsid w:val="20CD543C"/>
    <w:rsid w:val="265E529A"/>
    <w:rsid w:val="2CBE149B"/>
    <w:rsid w:val="2D480A11"/>
    <w:rsid w:val="2D70184A"/>
    <w:rsid w:val="2FFA5D2A"/>
    <w:rsid w:val="30C4574F"/>
    <w:rsid w:val="32024B11"/>
    <w:rsid w:val="339D59E3"/>
    <w:rsid w:val="3A995577"/>
    <w:rsid w:val="3B185393"/>
    <w:rsid w:val="3C3003F9"/>
    <w:rsid w:val="3D390BC1"/>
    <w:rsid w:val="40A87B10"/>
    <w:rsid w:val="41122711"/>
    <w:rsid w:val="4283006C"/>
    <w:rsid w:val="432B080A"/>
    <w:rsid w:val="44400AB9"/>
    <w:rsid w:val="4DD40A61"/>
    <w:rsid w:val="4E042945"/>
    <w:rsid w:val="5202562B"/>
    <w:rsid w:val="541B1210"/>
    <w:rsid w:val="54462D9F"/>
    <w:rsid w:val="574D30D2"/>
    <w:rsid w:val="599C5637"/>
    <w:rsid w:val="5A7B6F58"/>
    <w:rsid w:val="5B383CAA"/>
    <w:rsid w:val="60E33B1D"/>
    <w:rsid w:val="65EB761A"/>
    <w:rsid w:val="692A731C"/>
    <w:rsid w:val="6C110453"/>
    <w:rsid w:val="6C9F32A6"/>
    <w:rsid w:val="6F49616E"/>
    <w:rsid w:val="735531C2"/>
    <w:rsid w:val="7563129D"/>
    <w:rsid w:val="7A8E0FD8"/>
    <w:rsid w:val="7D4359F7"/>
    <w:rsid w:val="7E6A406F"/>
    <w:rsid w:val="7F7D08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1409</Words>
  <Characters>8034</Characters>
  <Lines>66</Lines>
  <Paragraphs>18</Paragraphs>
  <TotalTime>19</TotalTime>
  <ScaleCrop>false</ScaleCrop>
  <LinksUpToDate>false</LinksUpToDate>
  <CharactersWithSpaces>9425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2019-06-23T02:44:00Z</dcterms:created>
  <dc:creator>张英男</dc:creator>
  <cp:lastModifiedBy>ZBK</cp:lastModifiedBy>
  <dcterms:modified xsi:type="dcterms:W3CDTF">2019-08-05T02:48:00Z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